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1" w:type="dxa"/>
        <w:jc w:val="left"/>
        <w:tblInd w:w="40" w:type="dxa"/>
        <w:tblBorders/>
        <w:tblCellMar>
          <w:top w:w="0" w:type="dxa"/>
          <w:left w:w="48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70"/>
        <w:gridCol w:w="1985"/>
        <w:gridCol w:w="7375"/>
      </w:tblGrid>
      <w:tr>
        <w:trPr>
          <w:trHeight w:val="366" w:hRule="atLeast"/>
          <w:cantSplit w:val="true"/>
        </w:trPr>
        <w:tc>
          <w:tcPr>
            <w:tcW w:w="9930" w:type="dxa"/>
            <w:gridSpan w:val="3"/>
            <w:tcBorders/>
            <w:shd w:fill="auto" w:val="clear"/>
            <w:vAlign w:val="center"/>
          </w:tcPr>
          <w:p>
            <w:pPr>
              <w:pStyle w:val="Nadpis8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0"/>
                <w:lang w:val="cs-CZ"/>
              </w:rPr>
              <w:t>ODDÍL 1: Identifikace látky/směsi a společnosti/podniku</w:t>
            </w:r>
          </w:p>
        </w:tc>
      </w:tr>
      <w:tr>
        <w:trPr>
          <w:trHeight w:val="277" w:hRule="atLeast"/>
          <w:cantSplit w:val="true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1.1</w:t>
            </w:r>
          </w:p>
        </w:tc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Identifikátor výrobku</w:t>
            </w:r>
          </w:p>
        </w:tc>
      </w:tr>
      <w:tr>
        <w:trPr>
          <w:trHeight w:val="80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Název:</w:t>
            </w:r>
          </w:p>
        </w:tc>
        <w:tc>
          <w:tcPr>
            <w:tcW w:w="7375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POWER TRIM JET - OKNA, ZRCADLA</w:t>
            </w:r>
          </w:p>
        </w:tc>
      </w:tr>
      <w:tr>
        <w:trPr>
          <w:trHeight w:val="80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Další názvy výrobku:</w:t>
            </w:r>
          </w:p>
        </w:tc>
        <w:tc>
          <w:tcPr>
            <w:tcW w:w="7375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Není</w:t>
            </w:r>
          </w:p>
        </w:tc>
      </w:tr>
      <w:tr>
        <w:trPr>
          <w:trHeight w:val="282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Identifikační číslo:</w:t>
            </w:r>
          </w:p>
        </w:tc>
        <w:tc>
          <w:tcPr>
            <w:tcW w:w="7375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Nepřiděleno</w:t>
            </w:r>
          </w:p>
        </w:tc>
      </w:tr>
      <w:tr>
        <w:trPr>
          <w:trHeight w:val="282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Registrační číslo:</w:t>
            </w:r>
          </w:p>
        </w:tc>
        <w:tc>
          <w:tcPr>
            <w:tcW w:w="7375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Nepřiděleno</w:t>
            </w:r>
          </w:p>
        </w:tc>
      </w:tr>
      <w:tr>
        <w:trPr>
          <w:trHeight w:val="287" w:hRule="atLeast"/>
          <w:cantSplit w:val="true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1.2</w:t>
            </w:r>
          </w:p>
        </w:tc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Příslušná určená použití látky nebo směsi a nedoporučená použití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Určená použití: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Čištění skleněných ploch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Nedoporučená použití: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Jiné, než uvedené výše</w:t>
            </w:r>
          </w:p>
        </w:tc>
      </w:tr>
      <w:tr>
        <w:trPr>
          <w:trHeight w:val="287" w:hRule="atLeast"/>
          <w:cantSplit w:val="true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1.3</w:t>
            </w:r>
          </w:p>
        </w:tc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Podrobné údaje o dodavateli bezpečnostního listu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Výrobce: 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CHOPA spol. s r.o.</w:t>
            </w:r>
          </w:p>
        </w:tc>
      </w:tr>
      <w:tr>
        <w:trPr>
          <w:trHeight w:val="378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Úplná adresa dodavatele: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cs="Arial" w:ascii="Arial" w:hAnsi="Arial"/>
              </w:rPr>
              <w:t>S</w:t>
            </w:r>
            <w:r>
              <w:rPr>
                <w:sz w:val="22"/>
                <w:szCs w:val="22"/>
              </w:rPr>
              <w:t>tarý Vestec č. p. 224, 289 16 Přerov nad Labem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IČO: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46350659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Odborně způsobilá osoba: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Jan Panec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Telefonní číslo; fax: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+420 325 565 050; +420 325 565 051</w:t>
            </w:r>
          </w:p>
        </w:tc>
      </w:tr>
      <w:tr>
        <w:trPr>
          <w:trHeight w:val="287" w:hRule="atLeast"/>
          <w:cantSplit w:val="true"/>
        </w:trPr>
        <w:tc>
          <w:tcPr>
            <w:tcW w:w="255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Adresa elektronické pošty:</w:t>
            </w:r>
          </w:p>
        </w:tc>
        <w:tc>
          <w:tcPr>
            <w:tcW w:w="7375" w:type="dxa"/>
            <w:tcBorders/>
            <w:shd w:fill="auto" w:val="clear"/>
          </w:tcPr>
          <w:p>
            <w:pPr>
              <w:pStyle w:val="Normal"/>
              <w:spacing w:before="80" w:after="80"/>
              <w:rPr/>
            </w:pPr>
            <w:hyperlink r:id="rId2">
              <w:r>
                <w:rPr>
                  <w:rStyle w:val="Internetovodkaz"/>
                  <w:rFonts w:cs="Arial" w:ascii="Arial" w:hAnsi="Arial"/>
                  <w:lang w:val="cs-CZ"/>
                </w:rPr>
                <w:t>chopa@chopa.cz</w:t>
              </w:r>
            </w:hyperlink>
            <w:r>
              <w:rPr>
                <w:rFonts w:cs="Arial" w:ascii="Arial" w:hAnsi="Arial"/>
                <w:lang w:val="cs-CZ"/>
              </w:rPr>
              <w:t xml:space="preserve">, </w:t>
            </w:r>
            <w:hyperlink r:id="rId3">
              <w:r>
                <w:rPr>
                  <w:rStyle w:val="Internetovodkaz"/>
                  <w:rFonts w:cs="Arial" w:ascii="Arial" w:hAnsi="Arial"/>
                  <w:lang w:val="cs-CZ"/>
                </w:rPr>
                <w:t>www.chopa.cz</w:t>
              </w:r>
            </w:hyperlink>
            <w:r>
              <w:rPr>
                <w:rFonts w:cs="Arial" w:ascii="Arial" w:hAnsi="Arial"/>
                <w:lang w:val="cs-CZ"/>
              </w:rPr>
              <w:t xml:space="preserve"> </w:t>
            </w:r>
          </w:p>
        </w:tc>
      </w:tr>
      <w:tr>
        <w:trPr>
          <w:trHeight w:val="287" w:hRule="atLeast"/>
          <w:cantSplit w:val="true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1.4</w:t>
            </w:r>
          </w:p>
        </w:tc>
        <w:tc>
          <w:tcPr>
            <w:tcW w:w="9360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Telefonní číslo pro naléhavé situace</w:t>
            </w:r>
          </w:p>
        </w:tc>
      </w:tr>
      <w:tr>
        <w:trPr>
          <w:trHeight w:val="287" w:hRule="atLeast"/>
          <w:cantSplit w:val="true"/>
        </w:trPr>
        <w:tc>
          <w:tcPr>
            <w:tcW w:w="993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Toxikologické informační středisko</w:t>
            </w:r>
            <w:r>
              <w:rPr>
                <w:rFonts w:cs="Arial" w:ascii="Arial" w:hAnsi="Arial"/>
                <w:b/>
                <w:lang w:val="cs-CZ"/>
              </w:rPr>
              <w:t xml:space="preserve">, </w:t>
            </w:r>
            <w:r>
              <w:rPr>
                <w:rFonts w:cs="Arial" w:ascii="Arial" w:hAnsi="Arial"/>
                <w:lang w:val="cs-CZ"/>
              </w:rPr>
              <w:t>Na Bojišti 1, Praha</w:t>
            </w:r>
          </w:p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(nepřetržitě): + 420 224 919 293, + 420 224 915 402</w:t>
            </w:r>
          </w:p>
          <w:p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pouze pro zdravotní rizika – akutní otravy lidí a zvířat.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0358" w:type="dxa"/>
        <w:jc w:val="left"/>
        <w:tblInd w:w="40" w:type="dxa"/>
        <w:tblBorders/>
        <w:tblCellMar>
          <w:top w:w="0" w:type="dxa"/>
          <w:left w:w="48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9"/>
        <w:gridCol w:w="2835"/>
        <w:gridCol w:w="2977"/>
        <w:gridCol w:w="3977"/>
      </w:tblGrid>
      <w:tr>
        <w:trPr>
          <w:trHeight w:val="328" w:hRule="atLeast"/>
          <w:cantSplit w:val="true"/>
        </w:trPr>
        <w:tc>
          <w:tcPr>
            <w:tcW w:w="103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2: Identifikace nebezpečnosti</w:t>
            </w:r>
          </w:p>
        </w:tc>
      </w:tr>
      <w:tr>
        <w:trPr>
          <w:trHeight w:val="251" w:hRule="atLeast"/>
          <w:cantSplit w:val="true"/>
        </w:trPr>
        <w:tc>
          <w:tcPr>
            <w:tcW w:w="10358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Celková klasifikace:</w:t>
            </w:r>
          </w:p>
        </w:tc>
      </w:tr>
      <w:tr>
        <w:trPr>
          <w:trHeight w:val="233" w:hRule="atLeast"/>
          <w:cantSplit w:val="true"/>
        </w:trPr>
        <w:tc>
          <w:tcPr>
            <w:tcW w:w="10358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eastAsia="MS Mincho" w:cs="Arial" w:ascii="Arial" w:hAnsi="Arial"/>
                <w:lang w:val="cs-CZ"/>
              </w:rPr>
              <w:t>Výrobek není klasifikovaný jako nebezpečný podle nařízení (ES) 1272/2008 (v platném znění).</w:t>
            </w:r>
          </w:p>
        </w:tc>
      </w:tr>
      <w:tr>
        <w:trPr>
          <w:trHeight w:val="300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2.1</w:t>
            </w:r>
          </w:p>
        </w:tc>
        <w:tc>
          <w:tcPr>
            <w:tcW w:w="9789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Klasifikace látky nebo směsi</w:t>
            </w:r>
          </w:p>
        </w:tc>
      </w:tr>
      <w:tr>
        <w:trPr>
          <w:trHeight w:val="300" w:hRule="atLeast"/>
          <w:cantSplit w:val="true"/>
        </w:trPr>
        <w:tc>
          <w:tcPr>
            <w:tcW w:w="340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Klasifikace (1272/2008):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 xml:space="preserve">Klasifikace </w:t>
            </w:r>
          </w:p>
          <w:p>
            <w:pPr>
              <w:pStyle w:val="Normal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neklasifikováno</w:t>
            </w:r>
          </w:p>
        </w:tc>
        <w:tc>
          <w:tcPr>
            <w:tcW w:w="3977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H-věty</w:t>
            </w:r>
            <w:r>
              <w:rPr>
                <w:rFonts w:cs="Arial" w:ascii="Arial" w:hAnsi="Arial"/>
                <w:lang w:val="cs-CZ"/>
              </w:rPr>
              <w:t xml:space="preserve"> 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nepřiděleny</w:t>
            </w:r>
          </w:p>
        </w:tc>
      </w:tr>
      <w:tr>
        <w:trPr>
          <w:trHeight w:val="300" w:hRule="atLeast"/>
          <w:cantSplit w:val="true"/>
        </w:trPr>
        <w:tc>
          <w:tcPr>
            <w:tcW w:w="10358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listu)</w:t>
            </w:r>
          </w:p>
        </w:tc>
      </w:tr>
      <w:tr>
        <w:trPr>
          <w:trHeight w:val="300" w:hRule="atLeast"/>
          <w:cantSplit w:val="true"/>
        </w:trPr>
        <w:tc>
          <w:tcPr>
            <w:tcW w:w="10358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Směs není klasifikována jako nebezpečná pro zdraví ani pro životní prostředí.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"/>
        </w:rPr>
      </w:pPr>
      <w:r>
        <w:rPr>
          <w:sz w:val="2"/>
        </w:rPr>
      </w:r>
      <w:r>
        <w:br w:type="page"/>
      </w:r>
    </w:p>
    <w:tbl>
      <w:tblPr>
        <w:tblW w:w="9931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4"/>
        <w:gridCol w:w="2558"/>
        <w:gridCol w:w="1834"/>
        <w:gridCol w:w="1705"/>
        <w:gridCol w:w="1559"/>
        <w:gridCol w:w="1711"/>
      </w:tblGrid>
      <w:tr>
        <w:trPr>
          <w:trHeight w:val="300" w:hRule="atLeast"/>
          <w:cantSplit w:val="true"/>
        </w:trPr>
        <w:tc>
          <w:tcPr>
            <w:tcW w:w="564" w:type="dxa"/>
            <w:tcBorders/>
            <w:shd w:fill="auto" w:val="clear"/>
          </w:tcPr>
          <w:p>
            <w:pPr>
              <w:pStyle w:val="Normal"/>
              <w:pageBreakBefore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2.2</w:t>
            </w:r>
          </w:p>
        </w:tc>
        <w:tc>
          <w:tcPr>
            <w:tcW w:w="9367" w:type="dxa"/>
            <w:gridSpan w:val="5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Prvky označení</w:t>
            </w:r>
          </w:p>
        </w:tc>
      </w:tr>
      <w:tr>
        <w:trPr>
          <w:trHeight w:val="716" w:hRule="atLeast"/>
          <w:cantSplit w:val="true"/>
        </w:trPr>
        <w:tc>
          <w:tcPr>
            <w:tcW w:w="312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Výstražný symbol nebezpečnosti dle Nařízení ES č. 1272/2008:</w:t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Nepřiřazen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  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</w:r>
          </w:p>
        </w:tc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</w:r>
          </w:p>
        </w:tc>
      </w:tr>
      <w:tr>
        <w:trPr>
          <w:trHeight w:val="81" w:hRule="atLeast"/>
          <w:cantSplit w:val="true"/>
        </w:trPr>
        <w:tc>
          <w:tcPr>
            <w:tcW w:w="312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Nepřiřazeno</w:t>
            </w:r>
          </w:p>
        </w:tc>
      </w:tr>
      <w:tr>
        <w:trPr>
          <w:trHeight w:val="81" w:hRule="atLeast"/>
          <w:cantSplit w:val="true"/>
        </w:trPr>
        <w:tc>
          <w:tcPr>
            <w:tcW w:w="312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Nepřiřazeny</w:t>
            </w:r>
          </w:p>
        </w:tc>
      </w:tr>
      <w:tr>
        <w:trPr>
          <w:trHeight w:val="310" w:hRule="atLeast"/>
          <w:cantSplit w:val="true"/>
        </w:trPr>
        <w:tc>
          <w:tcPr>
            <w:tcW w:w="312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Nepřiřazeny</w:t>
            </w:r>
          </w:p>
        </w:tc>
      </w:tr>
      <w:tr>
        <w:trPr>
          <w:trHeight w:val="307" w:hRule="atLeast"/>
          <w:cantSplit w:val="true"/>
        </w:trPr>
        <w:tc>
          <w:tcPr>
            <w:tcW w:w="9931" w:type="dxa"/>
            <w:gridSpan w:val="6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b/>
                <w:b/>
                <w:lang w:val="cs-CZ"/>
              </w:rPr>
            </w:pPr>
            <w:r>
              <w:rPr>
                <w:rFonts w:cs="Arial" w:ascii="Arial" w:hAnsi="Arial"/>
                <w:b/>
                <w:lang w:val="cs-CZ"/>
              </w:rPr>
              <w:t>Doplňující informace na štítku</w:t>
            </w:r>
          </w:p>
        </w:tc>
      </w:tr>
      <w:tr>
        <w:trPr>
          <w:trHeight w:val="307" w:hRule="atLeast"/>
          <w:cantSplit w:val="true"/>
        </w:trPr>
        <w:tc>
          <w:tcPr>
            <w:tcW w:w="9931" w:type="dxa"/>
            <w:gridSpan w:val="6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cs="Arial" w:ascii="Arial" w:hAnsi="Arial"/>
                <w:u w:val="single"/>
                <w:lang w:val="cs-CZ"/>
              </w:rPr>
              <w:t>Požadavky nařízení 648/2004/EC o detergentech:</w:t>
            </w:r>
          </w:p>
        </w:tc>
      </w:tr>
      <w:tr>
        <w:trPr>
          <w:trHeight w:val="1170" w:hRule="atLeast"/>
          <w:cantSplit w:val="true"/>
        </w:trPr>
        <w:tc>
          <w:tcPr>
            <w:tcW w:w="9931" w:type="dxa"/>
            <w:gridSpan w:val="6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Adresa a telefonní číslo k získání datového listu: 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CHOPA spol. s r.o., </w:t>
            </w:r>
            <w:r>
              <w:rPr>
                <w:rFonts w:cs="Arial" w:ascii="Arial" w:hAnsi="Arial"/>
              </w:rPr>
              <w:t>Starý Vestec č. p. 224, 289 16 Přerov nad Labem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Výrobek obsahuje (ingredients): 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&lt; 5 % aniontové povrchově aktivní látky, Ethanol. Parfum: (D-Limonene, Citral). Barvivo (colorant): </w:t>
            </w:r>
            <w:r>
              <w:rPr>
                <w:rFonts w:cs="ArialNarrow" w:ascii="ArialNarrow" w:hAnsi="ArialNarrow"/>
                <w:lang w:val="cs-CZ"/>
              </w:rPr>
              <w:t xml:space="preserve">Brilantní modř FCF </w:t>
            </w:r>
            <w:r>
              <w:rPr>
                <w:rFonts w:cs="Arial" w:ascii="Arial" w:hAnsi="Arial"/>
                <w:lang w:val="cs-CZ"/>
              </w:rPr>
              <w:t>(CI 42090)</w:t>
            </w:r>
          </w:p>
        </w:tc>
      </w:tr>
      <w:tr>
        <w:trPr>
          <w:trHeight w:val="300" w:hRule="atLeast"/>
          <w:cantSplit w:val="true"/>
        </w:trPr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Další nebezpečnost</w:t>
            </w:r>
          </w:p>
        </w:tc>
      </w:tr>
      <w:tr>
        <w:trPr>
          <w:trHeight w:val="210" w:hRule="atLeast"/>
          <w:cantSplit w:val="true"/>
        </w:trPr>
        <w:tc>
          <w:tcPr>
            <w:tcW w:w="9931" w:type="dxa"/>
            <w:gridSpan w:val="6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>
      <w:pPr>
        <w:pStyle w:val="Normal"/>
        <w:rPr>
          <w:sz w:val="18"/>
          <w:lang w:val="cs-CZ"/>
        </w:rPr>
      </w:pPr>
      <w:r>
        <w:rPr>
          <w:sz w:val="18"/>
          <w:lang w:val="cs-CZ"/>
        </w:rPr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9927" w:type="dxa"/>
        <w:jc w:val="left"/>
        <w:tblInd w:w="40" w:type="dxa"/>
        <w:tblBorders/>
        <w:tblCellMar>
          <w:top w:w="0" w:type="dxa"/>
          <w:left w:w="48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8"/>
        <w:gridCol w:w="9358"/>
      </w:tblGrid>
      <w:tr>
        <w:trPr>
          <w:trHeight w:val="344" w:hRule="atLeast"/>
          <w:cantSplit w:val="true"/>
        </w:trPr>
        <w:tc>
          <w:tcPr>
            <w:tcW w:w="99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3: Složení/informace o složkách</w:t>
            </w:r>
          </w:p>
        </w:tc>
      </w:tr>
      <w:tr>
        <w:trPr>
          <w:trHeight w:val="270" w:hRule="atLeast"/>
          <w:cantSplit w:val="true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3.2</w:t>
            </w:r>
          </w:p>
        </w:tc>
        <w:tc>
          <w:tcPr>
            <w:tcW w:w="9358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Směsi</w:t>
            </w:r>
          </w:p>
        </w:tc>
      </w:tr>
      <w:tr>
        <w:trPr>
          <w:trHeight w:val="270" w:hRule="atLeast"/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Výrobek neobsahuje žádné nebezpečné suroviny v nadlimitním množství.</w:t>
            </w:r>
          </w:p>
        </w:tc>
      </w:tr>
      <w:tr>
        <w:trPr>
          <w:trHeight w:val="860" w:hRule="atLeast"/>
          <w:cantSplit w:val="true"/>
        </w:trPr>
        <w:tc>
          <w:tcPr>
            <w:tcW w:w="9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40" w:after="40"/>
              <w:rPr>
                <w:rFonts w:ascii="Arial" w:hAnsi="Arial" w:cs="Arial"/>
                <w:b/>
                <w:b/>
                <w:bCs/>
                <w:highlight w:val="yellow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Další informace o složkách</w:t>
            </w:r>
          </w:p>
          <w:p>
            <w:pPr>
              <w:pStyle w:val="Normal"/>
              <w:spacing w:before="40" w:after="40"/>
              <w:jc w:val="both"/>
              <w:rPr>
                <w:rFonts w:ascii="Arial" w:hAnsi="Arial" w:cs="Arial"/>
                <w:b/>
                <w:b/>
                <w:bCs/>
                <w:highlight w:val="yellow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Směs může obsahovat složky, které nejsou klasifikovány jako nebezpečné nebo u nich není dosaženo minimální koncentrace nebezpečných látek ve směsi dle Nařízení ES 1272/2008 a proto zde nejsou uvedeny.</w:t>
            </w:r>
          </w:p>
        </w:tc>
      </w:tr>
      <w:tr>
        <w:trPr>
          <w:trHeight w:val="364" w:hRule="atLeast"/>
          <w:cantSplit w:val="true"/>
        </w:trPr>
        <w:tc>
          <w:tcPr>
            <w:tcW w:w="9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Úplné znění H vět je uvedeno v oddíle 16 tohoto bezpečnostního listu.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7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9"/>
        <w:gridCol w:w="1134"/>
        <w:gridCol w:w="8223"/>
      </w:tblGrid>
      <w:tr>
        <w:trPr>
          <w:trHeight w:val="353" w:hRule="atLeast"/>
          <w:cantSplit w:val="true"/>
        </w:trPr>
        <w:tc>
          <w:tcPr>
            <w:tcW w:w="99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4: Pokyny pro první pomoc</w:t>
            </w:r>
          </w:p>
        </w:tc>
      </w:tr>
      <w:tr>
        <w:trPr>
          <w:trHeight w:val="286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Popis první pomoci</w:t>
            </w:r>
          </w:p>
        </w:tc>
      </w:tr>
      <w:tr>
        <w:trPr>
          <w:cantSplit w:val="true"/>
        </w:trPr>
        <w:tc>
          <w:tcPr>
            <w:tcW w:w="9926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>
        <w:trPr>
          <w:cantSplit w:val="true"/>
        </w:trPr>
        <w:tc>
          <w:tcPr>
            <w:tcW w:w="1703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Při vdechnutí: 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Dopravte postiženého na čerstvý vzduch a zajistěte tělesný i duševní klid. Zabraňte prochladnutí. Při přetrvávajících obtížích vyhledejte lékařskou pomoc.</w:t>
            </w:r>
          </w:p>
        </w:tc>
      </w:tr>
      <w:tr>
        <w:trPr>
          <w:cantSplit w:val="true"/>
        </w:trPr>
        <w:tc>
          <w:tcPr>
            <w:tcW w:w="1703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Zhlav"/>
              <w:spacing w:before="80" w:after="80"/>
              <w:ind w:left="12" w:hanging="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Odstranit kontaminovaný oděv, zasaženou pokožku omývat proudem čisté vody. Při přetrvávajících obtížích vyhledejte lékařskou pomoc.</w:t>
            </w:r>
          </w:p>
        </w:tc>
      </w:tr>
      <w:tr>
        <w:trPr>
          <w:cantSplit w:val="true"/>
        </w:trPr>
        <w:tc>
          <w:tcPr>
            <w:tcW w:w="1703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Při styku s okem: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Pečlivě vyplachujte postižené oko velkým množstvím vody směrem od vnitřního koutku k vnějšímu, a to i pod víčky. Při přetrvávajících obtížích přivolejte lékařskou pomoc.</w:t>
            </w:r>
          </w:p>
        </w:tc>
      </w:tr>
      <w:tr>
        <w:trPr>
          <w:cantSplit w:val="true"/>
        </w:trPr>
        <w:tc>
          <w:tcPr>
            <w:tcW w:w="1703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Při požití: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Důkladně vypláchněte ústa velkým množstvím vody. Zajistěte lékařské ošetření.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>
        <w:trPr>
          <w:cantSplit w:val="true"/>
        </w:trPr>
        <w:tc>
          <w:tcPr>
            <w:tcW w:w="9926" w:type="dxa"/>
            <w:gridSpan w:val="3"/>
            <w:tcBorders/>
            <w:shd w:fill="auto" w:val="clear"/>
          </w:tcPr>
          <w:p>
            <w:pPr>
              <w:pStyle w:val="Zpat"/>
              <w:tabs>
                <w:tab w:val="left" w:pos="8820" w:leader="none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Nejsou známy nepříznivé účinky na lidské zdraví ani na životní prostředí.</w:t>
              <w:tab/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4.3</w:t>
            </w:r>
          </w:p>
        </w:tc>
        <w:tc>
          <w:tcPr>
            <w:tcW w:w="93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Pokyn týkající se okamžité lékařské pomoci a zvláštního ošetření</w:t>
            </w:r>
          </w:p>
        </w:tc>
      </w:tr>
      <w:tr>
        <w:trPr>
          <w:cantSplit w:val="true"/>
        </w:trPr>
        <w:tc>
          <w:tcPr>
            <w:tcW w:w="9926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V případě, že příznaky jakéhokoliv zasažení (např.: podráždění) vyvolaného kontaktem s tímto výrobkem po poskytnutí první pomoci neodezní, vyhledejte lékařskou pomoc a předložte tento bezpečnostní list. 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pracovišti je vhodné mít k dispozici tekoucí pitnou vodu nebo oční sprchu k poskytnutí první pomoci při zasažení oka, resp. tekoucí pitnou vodu k poskytnutí první pomoci při zasažení pokožky.</w:t>
            </w:r>
          </w:p>
        </w:tc>
      </w:tr>
    </w:tbl>
    <w:p>
      <w:pPr>
        <w:pStyle w:val="Normal"/>
        <w:rPr>
          <w:sz w:val="16"/>
          <w:lang w:val="cs-CZ"/>
        </w:rPr>
      </w:pPr>
      <w:r>
        <w:rPr>
          <w:sz w:val="16"/>
          <w:lang w:val="cs-CZ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27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9"/>
        <w:gridCol w:w="1134"/>
        <w:gridCol w:w="8223"/>
      </w:tblGrid>
      <w:tr>
        <w:trPr>
          <w:trHeight w:val="326" w:hRule="atLeast"/>
          <w:cantSplit w:val="true"/>
        </w:trPr>
        <w:tc>
          <w:tcPr>
            <w:tcW w:w="99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5: Opatření pro hašení požáru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5.1</w:t>
            </w:r>
          </w:p>
        </w:tc>
        <w:tc>
          <w:tcPr>
            <w:tcW w:w="93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Hasiva</w:t>
            </w:r>
          </w:p>
        </w:tc>
      </w:tr>
      <w:tr>
        <w:trPr>
          <w:cantSplit w:val="true"/>
        </w:trPr>
        <w:tc>
          <w:tcPr>
            <w:tcW w:w="1703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Vhodná hasiva: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Hasicí pěna, hasicí prášek, oxid uhličitý, vodní mlha. Hasivo přizpůsobit okolí.</w:t>
            </w:r>
          </w:p>
        </w:tc>
      </w:tr>
      <w:tr>
        <w:trPr>
          <w:cantSplit w:val="true"/>
        </w:trPr>
        <w:tc>
          <w:tcPr>
            <w:tcW w:w="1703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Nevhodná hasiva: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Plný vodní proud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>
        <w:trPr>
          <w:cantSplit w:val="true"/>
        </w:trPr>
        <w:tc>
          <w:tcPr>
            <w:tcW w:w="9926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Nepředpokládá se. Uzavřené obaly s výrobkem mohou v důsledku</w:t>
            </w:r>
            <w:r>
              <w:rPr>
                <w:rFonts w:cs="Arial" w:ascii="Arial" w:hAnsi="Arial"/>
              </w:rPr>
              <w:t xml:space="preserve"> přehřátí v průběhu požáru explodovat. Odpadní voda z hašení může obsahovat látky znečišťující vodu. </w:t>
            </w:r>
            <w:r>
              <w:rPr>
                <w:rFonts w:cs="Arial" w:ascii="Arial" w:hAnsi="Arial"/>
                <w:i/>
                <w:color w:val="FF0000"/>
                <w:lang w:val="cs-CZ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Pokyny pro hasiče</w:t>
            </w:r>
          </w:p>
        </w:tc>
      </w:tr>
      <w:tr>
        <w:trPr>
          <w:cantSplit w:val="true"/>
        </w:trPr>
        <w:tc>
          <w:tcPr>
            <w:tcW w:w="9926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Nevstupovat do prostoru požáru bez odpovídajícího ochranného oblečení a nezávislého dýchacího přístroje. Uzavřete ohrožený prostor a zabraňte vstupu nepovolaným osobám. Hasit požár je potřeba z vyvýšeného místa nebo po směru větru. Mohou se uvolňovat oxidy uhlíku a dusíku. </w:t>
            </w:r>
          </w:p>
        </w:tc>
      </w:tr>
    </w:tbl>
    <w:p>
      <w:pPr>
        <w:pStyle w:val="Normal"/>
        <w:rPr>
          <w:sz w:val="16"/>
          <w:lang w:val="cs-CZ"/>
        </w:rPr>
      </w:pPr>
      <w:r>
        <w:rPr>
          <w:sz w:val="16"/>
          <w:lang w:val="cs-CZ"/>
        </w:rPr>
      </w:r>
    </w:p>
    <w:p>
      <w:pPr>
        <w:pStyle w:val="Normal"/>
        <w:rPr>
          <w:sz w:val="2"/>
          <w:lang w:val="cs-CZ"/>
        </w:rPr>
      </w:pPr>
      <w:r>
        <w:rPr>
          <w:sz w:val="2"/>
          <w:lang w:val="cs-CZ"/>
        </w:rPr>
      </w:r>
    </w:p>
    <w:tbl>
      <w:tblPr>
        <w:tblW w:w="9927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9"/>
        <w:gridCol w:w="9357"/>
      </w:tblGrid>
      <w:tr>
        <w:trPr>
          <w:trHeight w:val="382" w:hRule="atLeast"/>
          <w:cantSplit w:val="true"/>
        </w:trPr>
        <w:tc>
          <w:tcPr>
            <w:tcW w:w="99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6: Opatření v případě náhodného úniku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6.1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6.1.1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Zabraňte přímému kontaktu s produktem. V uzavřených místnostech zajistěte přívod čerstvého vzduchu. Používejte přidělené OOPP, jak je popsáno v bodě 8 tohoto bezpečnostního listu. Nekuřte, nepoužívejte otevřený oheň nebo jiné zdroje zapálení. Dodržujte běžné pracovní a hygienické předpisy.</w:t>
            </w:r>
          </w:p>
        </w:tc>
      </w:tr>
      <w:tr>
        <w:trPr>
          <w:trHeight w:val="195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6.1.2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Pro pracovníky zasahující v případě nouze</w:t>
            </w:r>
          </w:p>
        </w:tc>
      </w:tr>
      <w:tr>
        <w:trPr>
          <w:trHeight w:val="195" w:hRule="atLeast"/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Materiály pro osobní ochranné oděvy: nestanoveno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6.2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Opatření na ochranu životního prostředí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Pokyny pro omezení úniku rozlité látky nebo směsi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Vybavte se vhodnými osobními ochrannými prostředky. Zajistěte zakrytí kanalizačních vpustí kanalizačními ucpávkami. Zabraňte dalšímu rozšíření do okolního prostředí ohraničením uniklé kapaliny vhodným inertním sorpčním materiálem (např.: písek, zemina, chemizorb, vapex aj.).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Pokyny pro odstranění rozlité látky nebo směsi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Zlikvidujte jako nebezpečný odpad. Z kontaminované plochy absorbujte uniklou látku pomocí vhodného sorbentu (např.: písek, zemina, chemizorb, vapex aj.). Sorbent nechte chvíli působit a následně smeťte. Použitý (znečištěný) sorbent uložte do vhodné nádoby na nebezpečný odpad a zlikvidujte v souladu s platnými právními předpisy. 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6.3.3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Nejsou</w:t>
            </w:r>
          </w:p>
        </w:tc>
      </w:tr>
      <w:tr>
        <w:trPr>
          <w:trHeight w:val="280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Odkaz na jiné oddíly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Nebezpečné zplodiny hoření viz oddíl 5. Osobní ochranné prostředky viz oddíl 8. Neslučitelné materiály viz oddíl 10. Pokyny pro odstraňování: viz oddíl 13.</w:t>
            </w:r>
          </w:p>
        </w:tc>
      </w:tr>
    </w:tbl>
    <w:p>
      <w:pPr>
        <w:pStyle w:val="Normal"/>
        <w:rPr>
          <w:sz w:val="18"/>
          <w:lang w:val="cs-CZ"/>
        </w:rPr>
      </w:pPr>
      <w:r>
        <w:rPr>
          <w:sz w:val="18"/>
          <w:lang w:val="cs-CZ"/>
        </w:rPr>
      </w:r>
    </w:p>
    <w:p>
      <w:pPr>
        <w:pStyle w:val="Normal"/>
        <w:rPr>
          <w:sz w:val="2"/>
          <w:lang w:val="cs-CZ"/>
        </w:rPr>
      </w:pPr>
      <w:r>
        <w:rPr>
          <w:sz w:val="2"/>
          <w:lang w:val="cs-CZ"/>
        </w:rPr>
      </w:r>
    </w:p>
    <w:tbl>
      <w:tblPr>
        <w:tblW w:w="9927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9"/>
        <w:gridCol w:w="9357"/>
      </w:tblGrid>
      <w:tr>
        <w:trPr>
          <w:trHeight w:val="427" w:hRule="atLeast"/>
          <w:cantSplit w:val="true"/>
        </w:trPr>
        <w:tc>
          <w:tcPr>
            <w:tcW w:w="99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7: Zacházení a skladování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Opatření pro bezpečné zacházení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Konkrétní doporučení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Používejte osobní ochranné pomůcky (viz bod 8). Zajistěte dobré větrání pracoviště. Zamezte styku s kůží a očima. Skladujte a manipulujte ve shodě se všemi běžnými nařízeními a standardy platnými pro práci s chemickými látkami. Na pracovišti smějí být připraveny jen látky, které jsou potřebné pro práci. Pracoviště udržujte v čistotě.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7.1.2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Pokyny týkající se obecné hygieny při práci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Při práci není dovoleno jíst, pít a kouřit. Po použití si umyjte ruce. Před vstupem do prostor pro stravování odložte znečištěný oděv a ochranné prostředky. Pracoviště musí být udržované v čistotě a únikové východy musí být průchodné. 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Podmínky pro bezpečné skladování látek a směsí, včetně neslučitelných látek a směsí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Skladujte na čistém, suchém, dobře větraném místě v originálních obalech. Zákaz kouření a manipulace v dosahu zážehových zdrojů.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cs-CZ"/>
              </w:rPr>
              <w:t>Neskladujte společně s oxidujícími látkami, kyselinami a zásadami. Nepřelévejte do náhradních obalů snadno zaměnitelných s potravinami.</w:t>
              <w:tab/>
              <w:t xml:space="preserve"> Skladujte na k tomu určeném místě. Chraňte před přímým slunečním zářením, vysokými teplotami a nadměrné vlhkosti.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Specifické konečné/specifická konečná použití</w:t>
            </w:r>
          </w:p>
        </w:tc>
      </w:tr>
      <w:tr>
        <w:trPr>
          <w:cantSplit w:val="true"/>
        </w:trPr>
        <w:tc>
          <w:tcPr>
            <w:tcW w:w="9926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Výrobek nepoužívejte k jiným než určeným účelům uvedených v oddíle 1 tohoto bezpečnostního listu.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Oplachové vody zlikvidujte v souladu s místními a národními předpisy.</w:t>
            </w:r>
          </w:p>
        </w:tc>
      </w:tr>
    </w:tbl>
    <w:p>
      <w:pPr>
        <w:pStyle w:val="Normal"/>
        <w:rPr>
          <w:sz w:val="18"/>
          <w:lang w:val="cs-CZ"/>
        </w:rPr>
      </w:pPr>
      <w:r>
        <w:rPr>
          <w:sz w:val="18"/>
          <w:lang w:val="cs-CZ"/>
        </w:rPr>
      </w:r>
    </w:p>
    <w:p>
      <w:pPr>
        <w:pStyle w:val="Normal"/>
        <w:rPr>
          <w:sz w:val="2"/>
          <w:szCs w:val="2"/>
          <w:lang w:val="cs-CZ"/>
        </w:rPr>
      </w:pPr>
      <w:r>
        <w:rPr>
          <w:sz w:val="2"/>
          <w:szCs w:val="2"/>
          <w:lang w:val="cs-CZ"/>
        </w:rPr>
      </w:r>
    </w:p>
    <w:tbl>
      <w:tblPr>
        <w:tblW w:w="9926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5"/>
        <w:gridCol w:w="146"/>
        <w:gridCol w:w="1556"/>
        <w:gridCol w:w="140"/>
        <w:gridCol w:w="1280"/>
        <w:gridCol w:w="1842"/>
        <w:gridCol w:w="1278"/>
        <w:gridCol w:w="705"/>
        <w:gridCol w:w="2414"/>
      </w:tblGrid>
      <w:tr>
        <w:trPr>
          <w:trHeight w:val="399" w:hRule="atLeast"/>
          <w:cantSplit w:val="true"/>
        </w:trPr>
        <w:tc>
          <w:tcPr>
            <w:tcW w:w="9926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>
        <w:trPr>
          <w:trHeight w:val="244" w:hRule="atLeast"/>
          <w:cantSplit w:val="true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8.1</w:t>
            </w:r>
          </w:p>
        </w:tc>
        <w:tc>
          <w:tcPr>
            <w:tcW w:w="9361" w:type="dxa"/>
            <w:gridSpan w:val="8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Kontrolní parametry</w:t>
            </w:r>
          </w:p>
        </w:tc>
      </w:tr>
      <w:tr>
        <w:trPr>
          <w:trHeight w:val="241" w:hRule="atLeast"/>
          <w:cantSplit w:val="true"/>
        </w:trPr>
        <w:tc>
          <w:tcPr>
            <w:tcW w:w="9926" w:type="dxa"/>
            <w:gridSpan w:val="9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Expoziční limity podle Nařízení vlády č. 361/2007 Sb.:</w:t>
            </w:r>
          </w:p>
        </w:tc>
      </w:tr>
      <w:tr>
        <w:trPr>
          <w:trHeight w:val="241" w:hRule="atLeast"/>
          <w:cantSplit w:val="true"/>
        </w:trPr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Název látky (složky):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PEL mg/m</w:t>
            </w:r>
            <w:r>
              <w:rPr>
                <w:rFonts w:cs="Arial" w:ascii="Arial" w:hAnsi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NPK-P mg/m</w:t>
            </w:r>
            <w:r>
              <w:rPr>
                <w:rFonts w:cs="Arial" w:ascii="Arial" w:hAnsi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Poznámka</w:t>
            </w:r>
          </w:p>
        </w:tc>
      </w:tr>
      <w:tr>
        <w:trPr>
          <w:trHeight w:val="241" w:hRule="atLeast"/>
          <w:cantSplit w:val="true"/>
        </w:trPr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80" w:hRule="atLeast"/>
          <w:cantSplit w:val="true"/>
        </w:trPr>
        <w:tc>
          <w:tcPr>
            <w:tcW w:w="9926" w:type="dxa"/>
            <w:gridSpan w:val="9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cs="Arial" w:ascii="Arial" w:hAnsi="Arial"/>
                <w:sz w:val="18"/>
                <w:lang w:val="cs-CZ"/>
              </w:rPr>
            </w:r>
          </w:p>
        </w:tc>
      </w:tr>
      <w:tr>
        <w:trPr>
          <w:trHeight w:val="241" w:hRule="atLeast"/>
          <w:cantSplit w:val="true"/>
        </w:trPr>
        <w:tc>
          <w:tcPr>
            <w:tcW w:w="9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Limitní hodnoty ukazatelů biologických testů (vyhláška č. 432/2003 Sb.):</w:t>
            </w:r>
          </w:p>
        </w:tc>
      </w:tr>
      <w:tr>
        <w:trPr>
          <w:trHeight w:val="241" w:hRule="atLeast"/>
          <w:cantSplit w:val="true"/>
        </w:trPr>
        <w:tc>
          <w:tcPr>
            <w:tcW w:w="36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PNEC</w:t>
            </w:r>
          </w:p>
        </w:tc>
      </w:tr>
      <w:tr>
        <w:trPr>
          <w:trHeight w:val="241" w:hRule="atLeast"/>
          <w:cantSplit w:val="true"/>
        </w:trPr>
        <w:tc>
          <w:tcPr>
            <w:tcW w:w="36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-</w:t>
            </w:r>
          </w:p>
        </w:tc>
      </w:tr>
      <w:tr>
        <w:trPr>
          <w:trHeight w:val="154" w:hRule="atLeast"/>
          <w:cantSplit w:val="true"/>
        </w:trPr>
        <w:tc>
          <w:tcPr>
            <w:tcW w:w="9926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8"/>
                <w:lang w:val="cs-CZ"/>
              </w:rPr>
            </w:pPr>
            <w:r>
              <w:rPr>
                <w:rFonts w:cs="Arial" w:ascii="Arial" w:hAnsi="Arial"/>
                <w:sz w:val="8"/>
                <w:lang w:val="cs-CZ"/>
              </w:rPr>
            </w:r>
          </w:p>
          <w:p>
            <w:pPr>
              <w:pStyle w:val="Normal"/>
              <w:rPr>
                <w:rFonts w:ascii="Arial" w:hAnsi="Arial" w:cs="Arial"/>
                <w:sz w:val="8"/>
                <w:lang w:val="cs-CZ"/>
              </w:rPr>
            </w:pPr>
            <w:r>
              <w:rPr>
                <w:rFonts w:cs="Arial" w:ascii="Arial" w:hAnsi="Arial"/>
                <w:sz w:val="8"/>
                <w:lang w:val="cs-CZ"/>
              </w:rPr>
            </w:r>
          </w:p>
        </w:tc>
      </w:tr>
      <w:tr>
        <w:trPr>
          <w:trHeight w:val="241" w:hRule="atLeast"/>
          <w:cantSplit w:val="true"/>
        </w:trPr>
        <w:tc>
          <w:tcPr>
            <w:tcW w:w="711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8.2</w:t>
            </w:r>
          </w:p>
        </w:tc>
        <w:tc>
          <w:tcPr>
            <w:tcW w:w="9215" w:type="dxa"/>
            <w:gridSpan w:val="7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Omezování expozice</w:t>
            </w:r>
          </w:p>
        </w:tc>
      </w:tr>
      <w:tr>
        <w:trPr>
          <w:trHeight w:val="241" w:hRule="atLeast"/>
          <w:cantSplit w:val="true"/>
        </w:trPr>
        <w:tc>
          <w:tcPr>
            <w:tcW w:w="711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8.2.1</w:t>
            </w:r>
          </w:p>
        </w:tc>
        <w:tc>
          <w:tcPr>
            <w:tcW w:w="9215" w:type="dxa"/>
            <w:gridSpan w:val="7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Vhodné technické kontroly</w:t>
            </w:r>
          </w:p>
        </w:tc>
      </w:tr>
      <w:tr>
        <w:trPr>
          <w:trHeight w:val="241" w:hRule="atLeast"/>
          <w:cantSplit w:val="true"/>
        </w:trPr>
        <w:tc>
          <w:tcPr>
            <w:tcW w:w="9926" w:type="dxa"/>
            <w:gridSpan w:val="9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Dodržujte pracovní postupy zahrnující opatření pro bezpečnou manipulaci, skladování a dopravu nebezpečných chemických a směsí. Udržujte z dosahu hořlavých látek nebo látek chemicky nestálých. Zajistěte dobré větrání pracoviště. V případě nedostatečného větrání použijte místní odsávání. </w:t>
            </w:r>
          </w:p>
        </w:tc>
      </w:tr>
      <w:tr>
        <w:trPr>
          <w:trHeight w:val="241" w:hRule="atLeast"/>
          <w:cantSplit w:val="true"/>
        </w:trPr>
        <w:tc>
          <w:tcPr>
            <w:tcW w:w="9926" w:type="dxa"/>
            <w:gridSpan w:val="9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>
        <w:trPr>
          <w:trHeight w:val="241" w:hRule="atLeast"/>
          <w:cantSplit w:val="true"/>
        </w:trPr>
        <w:tc>
          <w:tcPr>
            <w:tcW w:w="2407" w:type="dxa"/>
            <w:gridSpan w:val="4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  <w:gridSpan w:val="5"/>
            <w:tcBorders/>
            <w:shd w:fill="auto" w:val="clear"/>
          </w:tcPr>
          <w:p>
            <w:pPr>
              <w:pStyle w:val="Zpat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Nepředpokládá se nutnost použití.</w:t>
            </w:r>
          </w:p>
        </w:tc>
      </w:tr>
      <w:tr>
        <w:trPr>
          <w:trHeight w:val="241" w:hRule="atLeast"/>
          <w:cantSplit w:val="true"/>
        </w:trPr>
        <w:tc>
          <w:tcPr>
            <w:tcW w:w="2407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  <w:gridSpan w:val="5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Použít těsně přiléhající ochranné brýle dle ČSN EN 168.</w:t>
            </w:r>
          </w:p>
        </w:tc>
      </w:tr>
      <w:tr>
        <w:trPr>
          <w:trHeight w:val="241" w:hRule="atLeast"/>
          <w:cantSplit w:val="true"/>
        </w:trPr>
        <w:tc>
          <w:tcPr>
            <w:tcW w:w="2407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  <w:gridSpan w:val="5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Použít vhodné ochranné rukavice.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>
        <w:trPr>
          <w:trHeight w:val="225" w:hRule="atLeast"/>
          <w:cantSplit w:val="true"/>
        </w:trPr>
        <w:tc>
          <w:tcPr>
            <w:tcW w:w="2407" w:type="dxa"/>
            <w:gridSpan w:val="4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  <w:gridSpan w:val="5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Ochranný pracovní oděv, kontaminovaný oděv ihned odložte.</w:t>
            </w:r>
          </w:p>
        </w:tc>
      </w:tr>
      <w:tr>
        <w:trPr>
          <w:trHeight w:val="241" w:hRule="atLeast"/>
          <w:cantSplit w:val="true"/>
        </w:trPr>
        <w:tc>
          <w:tcPr>
            <w:tcW w:w="9926" w:type="dxa"/>
            <w:gridSpan w:val="9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>
        <w:trPr>
          <w:trHeight w:val="241" w:hRule="atLeast"/>
          <w:cantSplit w:val="true"/>
        </w:trPr>
        <w:tc>
          <w:tcPr>
            <w:tcW w:w="9926" w:type="dxa"/>
            <w:gridSpan w:val="9"/>
            <w:tcBorders/>
            <w:shd w:fill="auto" w:val="clear"/>
          </w:tcPr>
          <w:p>
            <w:pPr>
              <w:pStyle w:val="Zpat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6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5"/>
        <w:gridCol w:w="4392"/>
        <w:gridCol w:w="6"/>
        <w:gridCol w:w="4962"/>
      </w:tblGrid>
      <w:tr>
        <w:trPr>
          <w:cantSplit w:val="true"/>
        </w:trPr>
        <w:tc>
          <w:tcPr>
            <w:tcW w:w="992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9: Fyzikální a chemické vlastnosti</w:t>
            </w:r>
          </w:p>
        </w:tc>
      </w:tr>
      <w:tr>
        <w:trPr>
          <w:cantSplit w:val="true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Skupenství: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/>
            </w:r>
            <w:sdt>
              <w:sdtPr>
                <w:dropDownList>
                  <w:listItem w:displayText="Pevná látka" w:value="Pevná látka"/>
                  <w:listItem w:displayText="Kapalina" w:value="Kapalina"/>
                  <w:listItem w:displayText="Plyn" w:value="Plyn"/>
                </w:dropDownList>
              </w:sdtPr>
              <w:sdtContent>
                <w:r>
                  <w:t>Kapalina</w:t>
                </w:r>
              </w:sdtContent>
            </w:sdt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Vzhled (barva):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szCs w:val="22"/>
                <w:lang w:val="cs-CZ"/>
              </w:rPr>
              <w:t>průzračná modrá kapalina</w:t>
            </w:r>
            <w:r>
              <w:rPr>
                <w:rFonts w:cs="Arial" w:ascii="Arial" w:hAnsi="Arial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Zápach: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szCs w:val="22"/>
                <w:lang w:val="cs-CZ"/>
              </w:rPr>
              <w:t>Parfemováno (citron)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Prahová hodnota zápachu: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pH (při 20°C):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Nestanoveno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Bod tání / bod tuhnutí (°C):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Nestanoveno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Počáteční bod varu a rozmezí bodu varu (°C):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Bod vzplanutí (°C):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Rychlost odpařování: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Hořlavost (pevné látky, plyny):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Mezní hodnoty hořlavosti nebo výbušnosti: 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                                                        </w:t>
            </w:r>
            <w:r>
              <w:rPr>
                <w:rFonts w:cs="Arial" w:ascii="Arial" w:hAnsi="Arial"/>
                <w:lang w:val="cs-CZ"/>
              </w:rPr>
              <w:t>horní mez (% obj.):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                                                      </w:t>
            </w:r>
            <w:r>
              <w:rPr>
                <w:rFonts w:cs="Arial" w:ascii="Arial" w:hAnsi="Arial"/>
                <w:lang w:val="cs-CZ"/>
              </w:rPr>
              <w:t>dolní mez (% obj.):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Tlak páry: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Hustota páry: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Relativní hustota (při 20°C):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Rozpustnost: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Rozdělovací koeficient: n-oktanol / voda: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Teplota samovznícení: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Teplota rozkladu: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Viskozita (při 40°C):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Nestanovena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Výbušné vlastnosti: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Nestanoveny</w:t>
            </w:r>
          </w:p>
        </w:tc>
      </w:tr>
      <w:tr>
        <w:trPr>
          <w:cantSplit w:val="true"/>
        </w:trPr>
        <w:tc>
          <w:tcPr>
            <w:tcW w:w="4957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Oxidační vlastnosti:</w:t>
            </w:r>
          </w:p>
        </w:tc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Nestanoveny</w:t>
            </w:r>
          </w:p>
        </w:tc>
      </w:tr>
      <w:tr>
        <w:trPr>
          <w:cantSplit w:val="true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Další informace</w:t>
            </w:r>
          </w:p>
        </w:tc>
      </w:tr>
      <w:tr>
        <w:trPr>
          <w:trHeight w:val="318" w:hRule="atLeast"/>
          <w:cantSplit w:val="true"/>
        </w:trPr>
        <w:tc>
          <w:tcPr>
            <w:tcW w:w="4963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Nestanoveny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</w:r>
          </w:p>
        </w:tc>
      </w:tr>
    </w:tbl>
    <w:p>
      <w:pPr>
        <w:pStyle w:val="Normal"/>
        <w:rPr>
          <w:lang w:val="cs-CZ"/>
        </w:rPr>
      </w:pPr>
      <w:r>
        <w:rPr>
          <w:lang w:val="cs-CZ"/>
        </w:rPr>
      </w:r>
    </w:p>
    <w:tbl>
      <w:tblPr>
        <w:tblW w:w="9926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9356"/>
      </w:tblGrid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10: Stálost a reaktivita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Reaktivita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Chemická stabilita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Možnost nebezpečných reakcí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Za normálních podmínek skladování a používání nedochází k nebezpečným reakcím.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Podmínky, kterým je třeba zabránit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Vysoké teploty, dlouhodobé sluneční záření. S přípravkem nemanipulovat v blízkosti tepelného spotřebiče, otevřeného ohně a jisker.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Neslučitelné materiály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Skladujte z dosahu: hořlavých materiálů, silných oxidačních činidel, peroxidů, kyselin, zásad, potravin, nápojů a krmiv.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Nebezpečné produkty rozkladu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Viz oddíl 5 tohoto bezpečnostního listu.</w:t>
            </w:r>
          </w:p>
        </w:tc>
      </w:tr>
    </w:tbl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sz w:val="2"/>
          <w:lang w:val="cs-CZ"/>
        </w:rPr>
      </w:pPr>
      <w:r>
        <w:rPr>
          <w:sz w:val="2"/>
          <w:lang w:val="cs-CZ"/>
        </w:rPr>
      </w:r>
    </w:p>
    <w:tbl>
      <w:tblPr>
        <w:tblW w:w="9930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9360"/>
      </w:tblGrid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11: Toxikologické informace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tcBorders/>
            <w:shd w:fill="auto" w:val="clear"/>
            <w:vAlign w:val="center"/>
          </w:tcPr>
          <w:p>
            <w:pPr>
              <w:pStyle w:val="Nadpis9"/>
              <w:spacing w:before="80" w:after="8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Informace o toxikologických účincích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adpis2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  <w:i w:val="false"/>
                <w:iCs w:val="false"/>
              </w:rPr>
              <w:t xml:space="preserve">a) </w:t>
            </w:r>
            <w:r>
              <w:rPr>
                <w:rFonts w:cs="Arial" w:ascii="Arial" w:hAnsi="Arial"/>
              </w:rPr>
              <w:t>Akutní toxicita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Látka není klasifikována jako akutně toxická.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 xml:space="preserve">b) Žíravost/dráždivost pro kůži </w:t>
            </w:r>
          </w:p>
        </w:tc>
      </w:tr>
      <w:tr>
        <w:trPr>
          <w:trHeight w:val="210" w:hRule="atLeast"/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c) Vážné poškození očí/podráždění očí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d) Senzibilizace dýchacích cest/senzibilizace kůže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e) Mutagenita v zárodečných buňkách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f) Karcinogenita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g) Toxicita pro reprodukci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h) Toxicita pro specifické cílové orgány - jednorázová expozice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i) Toxicita pro specifické cílové orgány - opakovaná expozice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j) Nebezpečnost při vdechnutí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 základě dostupných údajů nejsou kritéria pro klasifikaci splněna.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Nejsou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26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9356"/>
      </w:tblGrid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12: Ekologické informace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Toxicita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Ryby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Řasy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/>
                <w:i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Jiné vodní rostliny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Perzistence a rozložitelnost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Konečná biologická rozložitelnost povrchově aktivních látek /PAL/, obsažených v přípravku, splňují (podle údajů dodaných výrobci těchto PAL) požadavky stanovené Nařízením (ES) č. 648/2004, v platném znění. 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Bioakumulační potenciál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Mobilita v půdě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12.5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Výsledky posouzení PBT a vPvB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Látka nesplňuje kritéria pro zařazení mezi látky PBT nebo vPvB.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12.6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Jiné nepříznivé účinky</w:t>
            </w:r>
          </w:p>
        </w:tc>
      </w:tr>
      <w:tr>
        <w:trPr>
          <w:cantSplit w:val="true"/>
        </w:trPr>
        <w:tc>
          <w:tcPr>
            <w:tcW w:w="99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before="80" w:after="80"/>
              <w:jc w:val="both"/>
              <w:rPr>
                <w:rFonts w:ascii="Arial" w:hAnsi="Arial" w:cs="Arial"/>
                <w:i/>
                <w:i/>
                <w:color w:val="FF0000"/>
                <w:highlight w:val="yellow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Informace není k dispozici.</w:t>
            </w:r>
          </w:p>
        </w:tc>
      </w:tr>
    </w:tbl>
    <w:p>
      <w:pPr>
        <w:pStyle w:val="Normal"/>
        <w:rPr>
          <w:lang w:val="cs-CZ"/>
        </w:rPr>
      </w:pPr>
      <w:r>
        <w:rPr>
          <w:lang w:val="cs-CZ"/>
        </w:rPr>
      </w:r>
    </w:p>
    <w:tbl>
      <w:tblPr>
        <w:tblW w:w="9930" w:type="dxa"/>
        <w:jc w:val="left"/>
        <w:tblInd w:w="40" w:type="dxa"/>
        <w:tblBorders/>
        <w:tblCellMar>
          <w:top w:w="0" w:type="dxa"/>
          <w:left w:w="43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569"/>
        <w:gridCol w:w="9360"/>
      </w:tblGrid>
      <w:tr>
        <w:trPr>
          <w:trHeight w:val="340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13: Pokyny pro odstraňování</w:t>
            </w:r>
          </w:p>
        </w:tc>
      </w:tr>
      <w:tr>
        <w:trPr>
          <w:trHeight w:val="243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Metody nakládání s odpady</w:t>
            </w:r>
          </w:p>
        </w:tc>
      </w:tr>
      <w:tr>
        <w:trPr>
          <w:trHeight w:val="243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Specifikace obalů a metody pro nakládání s odpady, včetně vhodných metod nakládání s odpady (např. spalování, recyklace, skládkování)</w:t>
            </w:r>
          </w:p>
        </w:tc>
      </w:tr>
      <w:tr>
        <w:trPr>
          <w:trHeight w:val="242" w:hRule="atLeast"/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 </w:t>
            </w:r>
          </w:p>
        </w:tc>
      </w:tr>
      <w:tr>
        <w:trPr>
          <w:trHeight w:val="242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Specifikace fyzikálních/chemických vlastností, které mohou ovlivnit způsob nakládání s odpady</w:t>
            </w:r>
          </w:p>
        </w:tc>
      </w:tr>
      <w:tr>
        <w:trPr>
          <w:trHeight w:val="242" w:hRule="atLeast"/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Směs je neomezeně mísitelná s vodou.</w:t>
            </w:r>
          </w:p>
        </w:tc>
      </w:tr>
      <w:tr>
        <w:trPr>
          <w:trHeight w:val="242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Zamezení odstraňování odpadů prostřednictvím kanalizace</w:t>
            </w:r>
          </w:p>
        </w:tc>
      </w:tr>
      <w:tr>
        <w:trPr>
          <w:trHeight w:val="242" w:hRule="atLeast"/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Je nutné zamezit úniku směsi do kanalizace.</w:t>
            </w:r>
          </w:p>
        </w:tc>
      </w:tr>
      <w:tr>
        <w:trPr>
          <w:trHeight w:val="242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d)</w:t>
            </w:r>
          </w:p>
        </w:tc>
        <w:tc>
          <w:tcPr>
            <w:tcW w:w="9360" w:type="dxa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Zvláštní bezpečnostní opatření pro každý doporučený způsob nakládání s odpady </w:t>
            </w:r>
          </w:p>
        </w:tc>
      </w:tr>
      <w:tr>
        <w:trPr>
          <w:trHeight w:val="242" w:hRule="atLeast"/>
          <w:cantSplit w:val="true"/>
        </w:trPr>
        <w:tc>
          <w:tcPr>
            <w:tcW w:w="9929" w:type="dxa"/>
            <w:gridSpan w:val="2"/>
            <w:tcBorders/>
            <w:shd w:fill="auto" w:val="clear"/>
          </w:tcPr>
          <w:p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Používejte přidělené OOPP a dodržujte pokyny pro manipulaci a skladování.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930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1355"/>
        <w:gridCol w:w="596"/>
        <w:gridCol w:w="1023"/>
        <w:gridCol w:w="649"/>
        <w:gridCol w:w="879"/>
        <w:gridCol w:w="1813"/>
        <w:gridCol w:w="3045"/>
      </w:tblGrid>
      <w:tr>
        <w:trPr>
          <w:cantSplit w:val="true"/>
        </w:trPr>
        <w:tc>
          <w:tcPr>
            <w:tcW w:w="9929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14: Informace pro přepravu</w:t>
            </w:r>
          </w:p>
        </w:tc>
      </w:tr>
      <w:tr>
        <w:trPr>
          <w:trHeight w:val="251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 xml:space="preserve">UN číslo </w:t>
            </w:r>
          </w:p>
        </w:tc>
      </w:tr>
      <w:tr>
        <w:trPr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bCs/>
                <w:lang w:val="cs-CZ"/>
              </w:rPr>
              <w:t>Není věcí ADR</w:t>
            </w:r>
          </w:p>
        </w:tc>
      </w:tr>
      <w:tr>
        <w:trPr>
          <w:trHeight w:val="248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>
        <w:trPr>
          <w:cantSplit w:val="true"/>
        </w:trPr>
        <w:tc>
          <w:tcPr>
            <w:tcW w:w="3543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6386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</w:tr>
      <w:tr>
        <w:trPr>
          <w:cantSplit w:val="true"/>
        </w:trPr>
        <w:tc>
          <w:tcPr>
            <w:tcW w:w="3543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Železniční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RID</w:t>
            </w:r>
          </w:p>
        </w:tc>
        <w:tc>
          <w:tcPr>
            <w:tcW w:w="6386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</w:tr>
      <w:tr>
        <w:trPr>
          <w:cantSplit w:val="true"/>
        </w:trPr>
        <w:tc>
          <w:tcPr>
            <w:tcW w:w="3543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iCs/>
                <w:lang w:val="cs-CZ"/>
              </w:rPr>
              <w:t>Námořní přeprava</w:t>
            </w:r>
            <w:r>
              <w:rPr>
                <w:rFonts w:cs="Arial" w:ascii="Arial" w:hAnsi="Arial"/>
                <w:i/>
                <w:lang w:val="cs-CZ"/>
              </w:rPr>
              <w:t xml:space="preserve"> ADN/IMDG:</w:t>
            </w:r>
          </w:p>
        </w:tc>
        <w:tc>
          <w:tcPr>
            <w:tcW w:w="6386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</w:tr>
      <w:tr>
        <w:trPr>
          <w:trHeight w:val="248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Železniční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i/>
                <w:iCs/>
                <w:lang w:val="cs-CZ"/>
              </w:rPr>
              <w:t>Námořní přeprava</w:t>
            </w:r>
            <w:r>
              <w:rPr>
                <w:rFonts w:cs="Arial" w:ascii="Arial" w:hAnsi="Arial"/>
                <w:i/>
                <w:lang w:val="cs-CZ"/>
              </w:rPr>
              <w:t xml:space="preserve"> ADN/IMDG: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Letecká přeprava</w:t>
            </w:r>
          </w:p>
          <w:p>
            <w:pPr>
              <w:pStyle w:val="Normal"/>
              <w:spacing w:before="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ICAO/IATA: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</w:tr>
      <w:tr>
        <w:trPr>
          <w:trHeight w:val="248" w:hRule="atLeast"/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Nadpis2"/>
              <w:spacing w:before="80" w:after="80"/>
              <w:rPr>
                <w:rFonts w:ascii="Arial" w:hAnsi="Arial" w:cs="Arial"/>
                <w:i w:val="false"/>
                <w:i w:val="false"/>
              </w:rPr>
            </w:pPr>
            <w:r>
              <w:rPr>
                <w:rFonts w:cs="Arial" w:ascii="Arial" w:hAnsi="Arial"/>
                <w:i w:val="false"/>
              </w:rPr>
              <w:t>Klasifikace</w:t>
            </w:r>
          </w:p>
        </w:tc>
      </w:tr>
      <w:tr>
        <w:trPr>
          <w:cantSplit w:val="true"/>
        </w:trPr>
        <w:tc>
          <w:tcPr>
            <w:tcW w:w="252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Železniční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RID</w:t>
            </w:r>
          </w:p>
        </w:tc>
        <w:tc>
          <w:tcPr>
            <w:tcW w:w="485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</w:r>
          </w:p>
        </w:tc>
      </w:tr>
      <w:tr>
        <w:trPr>
          <w:cantSplit w:val="true"/>
        </w:trPr>
        <w:tc>
          <w:tcPr>
            <w:tcW w:w="252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551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485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Obalová skupina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Železniční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i/>
                <w:iCs/>
                <w:sz w:val="20"/>
                <w:lang w:val="cs-CZ"/>
              </w:rPr>
              <w:t>Námořní přeprava</w:t>
            </w:r>
            <w:r>
              <w:rPr>
                <w:rFonts w:cs="Arial" w:ascii="Arial" w:hAnsi="Arial"/>
                <w:i/>
                <w:sz w:val="20"/>
                <w:lang w:val="cs-CZ"/>
              </w:rPr>
              <w:t xml:space="preserve"> IMDG:</w:t>
            </w:r>
          </w:p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Letecká přeprava ICAO/IATA: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</w:tr>
      <w:tr>
        <w:trPr>
          <w:trHeight w:val="248" w:hRule="atLeast"/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Výstražná tabule (Kemler)</w:t>
            </w:r>
          </w:p>
        </w:tc>
      </w:tr>
      <w:tr>
        <w:trPr>
          <w:cantSplit w:val="true"/>
        </w:trPr>
        <w:tc>
          <w:tcPr>
            <w:tcW w:w="252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7409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</w:r>
          </w:p>
        </w:tc>
      </w:tr>
      <w:tr>
        <w:trPr>
          <w:cantSplit w:val="true"/>
        </w:trPr>
        <w:tc>
          <w:tcPr>
            <w:tcW w:w="2520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740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</w:rPr>
              <w:t>Bezpečnostní značka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Železniční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Námořní přeprava IMDG: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Letecká přeprava ICAO/IATA:</w:t>
            </w:r>
          </w:p>
        </w:tc>
      </w:tr>
      <w:tr>
        <w:trPr>
          <w:trHeight w:val="392" w:hRule="atLeast"/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cs-CZ"/>
              </w:rPr>
              <w:t>---</w:t>
            </w:r>
          </w:p>
        </w:tc>
      </w:tr>
      <w:tr>
        <w:trPr>
          <w:trHeight w:val="248" w:hRule="atLeast"/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Poznámka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Pozemní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Železniční přeprava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i/>
                <w:iCs/>
                <w:lang w:val="cs-CZ"/>
              </w:rPr>
              <w:t>Námořní přeprava</w:t>
            </w:r>
            <w:r>
              <w:rPr>
                <w:rFonts w:cs="Arial" w:ascii="Arial" w:hAnsi="Arial"/>
                <w:i/>
                <w:lang w:val="cs-CZ"/>
              </w:rPr>
              <w:t xml:space="preserve"> IMDG: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Letecká přeprava ICAO/IATA:</w:t>
            </w:r>
          </w:p>
        </w:tc>
      </w:tr>
      <w:tr>
        <w:trPr>
          <w:cantSplit w:val="true"/>
        </w:trPr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  <w:i/>
                <w:i/>
                <w:lang w:val="cs-CZ"/>
              </w:rPr>
            </w:pPr>
            <w:r>
              <w:rPr>
                <w:rFonts w:cs="Arial" w:ascii="Arial" w:hAnsi="Arial"/>
                <w:i/>
                <w:lang w:val="cs-CZ"/>
              </w:rPr>
              <w:t>---</w:t>
            </w:r>
          </w:p>
        </w:tc>
        <w:tc>
          <w:tcPr>
            <w:tcW w:w="2268" w:type="dxa"/>
            <w:gridSpan w:val="3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lang w:val="cs-CZ"/>
              </w:rPr>
              <w:t>---</w:t>
            </w:r>
          </w:p>
        </w:tc>
        <w:tc>
          <w:tcPr>
            <w:tcW w:w="3045" w:type="dxa"/>
            <w:tcBorders/>
            <w:shd w:fill="auto" w:val="clear"/>
          </w:tcPr>
          <w:p>
            <w:pPr>
              <w:pStyle w:val="Normal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lang w:val="cs-CZ"/>
              </w:rPr>
              <w:t>---</w:t>
            </w:r>
          </w:p>
        </w:tc>
      </w:tr>
      <w:tr>
        <w:trPr>
          <w:trHeight w:val="248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Nebezpečnost pro životní prostředí</w:t>
            </w:r>
          </w:p>
        </w:tc>
      </w:tr>
      <w:tr>
        <w:trPr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iCs/>
                <w:lang w:val="cs-CZ"/>
              </w:rPr>
            </w:pPr>
            <w:r>
              <w:rPr>
                <w:rFonts w:cs="Arial" w:ascii="Arial" w:hAnsi="Arial"/>
                <w:iCs/>
                <w:lang w:val="cs-CZ"/>
              </w:rPr>
              <w:t>Není nebezpečnou látkou pro životní prostředí při přepravě.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>
        <w:trPr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iCs/>
                <w:lang w:val="cs-CZ"/>
              </w:rPr>
            </w:pPr>
            <w:r>
              <w:rPr>
                <w:rFonts w:cs="Arial" w:ascii="Arial" w:hAnsi="Arial"/>
                <w:iCs/>
                <w:lang w:val="cs-CZ"/>
              </w:rPr>
              <w:t>Viz oddíl 8</w:t>
            </w:r>
          </w:p>
        </w:tc>
      </w:tr>
      <w:tr>
        <w:trPr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60" w:type="dxa"/>
            <w:gridSpan w:val="7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iCs/>
                <w:lang w:val="cs-CZ"/>
              </w:rPr>
            </w:pPr>
            <w:r>
              <w:rPr>
                <w:rFonts w:cs="Arial" w:ascii="Arial" w:hAnsi="Arial"/>
                <w:b/>
                <w:bCs/>
                <w:iCs/>
                <w:lang w:val="cs-CZ"/>
              </w:rPr>
              <w:t>Hromadná přeprava podle přílohy II úmluvy MARPOL 73/78 a předpisu IBC</w:t>
            </w:r>
          </w:p>
        </w:tc>
      </w:tr>
      <w:tr>
        <w:trPr>
          <w:cantSplit w:val="true"/>
        </w:trPr>
        <w:tc>
          <w:tcPr>
            <w:tcW w:w="9929" w:type="dxa"/>
            <w:gridSpan w:val="8"/>
            <w:tcBorders/>
            <w:shd w:fill="auto" w:val="clear"/>
          </w:tcPr>
          <w:p>
            <w:pPr>
              <w:pStyle w:val="Zpat"/>
              <w:spacing w:before="80" w:after="80"/>
              <w:rPr>
                <w:rFonts w:ascii="Arial" w:hAnsi="Arial" w:cs="Arial"/>
                <w:i/>
                <w:i/>
                <w:iCs/>
                <w:highlight w:val="yellow"/>
                <w:lang w:val="cs-CZ"/>
              </w:rPr>
            </w:pPr>
            <w:r>
              <w:rPr>
                <w:rFonts w:cs="Arial" w:ascii="Arial" w:hAnsi="Arial"/>
                <w:iCs/>
                <w:lang w:val="cs-CZ"/>
              </w:rPr>
              <w:t>Neaplikovatelné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30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9360"/>
      </w:tblGrid>
      <w:tr>
        <w:trPr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15: Informace o předpisech</w:t>
            </w:r>
          </w:p>
        </w:tc>
      </w:tr>
      <w:tr>
        <w:trPr>
          <w:trHeight w:val="237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  <w:tcBorders/>
            <w:shd w:fill="auto" w:val="clear"/>
          </w:tcPr>
          <w:p>
            <w:pPr>
              <w:pStyle w:val="Zpat"/>
              <w:spacing w:before="80" w:after="80"/>
              <w:jc w:val="both"/>
              <w:rPr>
                <w:rFonts w:ascii="Arial" w:hAnsi="Arial" w:cs="Arial"/>
                <w:b/>
                <w:b/>
                <w:bCs/>
                <w:iCs/>
                <w:lang w:val="cs-CZ" w:eastAsia="en-US"/>
              </w:rPr>
            </w:pPr>
            <w:r>
              <w:rPr>
                <w:rFonts w:cs="Arial" w:ascii="Arial" w:hAnsi="Arial"/>
                <w:b/>
                <w:bCs/>
                <w:iCs/>
                <w:lang w:val="cs-CZ" w:eastAsia="en-US"/>
              </w:rPr>
              <w:t>Předpisy týkající se bezpečnosti, zdraví a životního prostředí/specifické právní předpisy týkající se látky nebo směsi</w:t>
            </w:r>
          </w:p>
        </w:tc>
      </w:tr>
      <w:tr>
        <w:trPr>
          <w:trHeight w:val="237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Zákon č. 267/2015 Sb., kterým se mění zákon č. 258/2000 Sb., o ochraně veřejného zdraví a o změně některých souvisejících zákonů, ve znění pozdějších předpisů, a další související zákony</w:t>
            </w:r>
          </w:p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Nařízení vlády č. 361/2007 Sb., kterým se stanoví podmínky ochrany zdraví zaměstnanců při práci</w:t>
            </w:r>
          </w:p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Zákon č. 201/2012 Sb. o ochraně ovzduší ve znění pozdějších předpisů</w:t>
            </w:r>
          </w:p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Zákon č. 254/2001 Sb. o vodách a o změně některých zákonů v platném znění</w:t>
            </w:r>
          </w:p>
          <w:p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Nařízení (ES) č. 648/2004 o detergentech 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Nařízení Evropského parlamentu a Rady (ES) č. 1907/2006 o registraci, hodnocení, povolování a omezování chemických látek (REACH) ve znění pozdějších předpisů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Nařízení Evropského parlamentu a Rady (ES) č. 1272/2008 (CLP) ve znění pozdějších předpisů</w:t>
            </w:r>
          </w:p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>
              <w:rPr>
                <w:rFonts w:cs="Arial" w:ascii="Arial" w:hAnsi="Arial"/>
                <w:lang w:val="cs-CZ" w:eastAsia="en-US"/>
              </w:rPr>
              <w:t>Nařízení Komise (EU) č. 830/2015</w:t>
            </w:r>
          </w:p>
        </w:tc>
      </w:tr>
      <w:tr>
        <w:trPr>
          <w:trHeight w:val="237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b/>
                <w:sz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lang w:val="cs-CZ"/>
              </w:rPr>
              <w:t xml:space="preserve">Látky vzbuzující mimořádné obavy podléhajících povolení dle přílohy XIV Nařízení ES č. 1907/2006: </w:t>
            </w:r>
          </w:p>
        </w:tc>
      </w:tr>
      <w:tr>
        <w:trPr>
          <w:trHeight w:val="237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Žádné</w:t>
            </w:r>
          </w:p>
        </w:tc>
      </w:tr>
      <w:tr>
        <w:trPr>
          <w:trHeight w:val="237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b/>
                <w:sz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lang w:val="cs-CZ"/>
              </w:rPr>
              <w:t>Látky omezené dle přílohy XVII Nařízení ES č. 1907/2006:</w:t>
            </w:r>
          </w:p>
        </w:tc>
      </w:tr>
      <w:tr>
        <w:trPr>
          <w:trHeight w:val="237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cs="Arial" w:ascii="Arial" w:hAnsi="Arial"/>
                <w:sz w:val="20"/>
                <w:lang w:val="cs-CZ"/>
              </w:rPr>
              <w:t>Žádné</w:t>
            </w:r>
          </w:p>
        </w:tc>
      </w:tr>
      <w:tr>
        <w:trPr>
          <w:trHeight w:val="237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b/>
                <w:b/>
                <w:bCs/>
                <w:lang w:val="cs-CZ" w:eastAsia="en-US"/>
              </w:rPr>
            </w:pPr>
            <w:r>
              <w:rPr>
                <w:rFonts w:cs="Arial" w:ascii="Arial" w:hAnsi="Arial"/>
                <w:b/>
                <w:bCs/>
                <w:lang w:val="cs-CZ" w:eastAsia="en-US"/>
              </w:rPr>
              <w:t>Posouzení chemické bezpečnosti</w:t>
            </w:r>
          </w:p>
        </w:tc>
      </w:tr>
      <w:tr>
        <w:trPr>
          <w:trHeight w:val="237" w:hRule="atLeast"/>
          <w:cantSplit w:val="true"/>
        </w:trPr>
        <w:tc>
          <w:tcPr>
            <w:tcW w:w="99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 w:eastAsia="en-US"/>
              </w:rPr>
            </w:pPr>
            <w:r>
              <w:rPr>
                <w:rFonts w:cs="Arial" w:ascii="Arial" w:hAnsi="Arial"/>
                <w:lang w:val="cs-CZ" w:eastAsia="en-US"/>
              </w:rPr>
              <w:t>Nebylo provedeno.</w:t>
            </w:r>
          </w:p>
        </w:tc>
      </w:tr>
    </w:tbl>
    <w:p>
      <w:pPr>
        <w:pStyle w:val="Normal"/>
        <w:rPr>
          <w:sz w:val="18"/>
          <w:lang w:val="cs-CZ"/>
        </w:rPr>
      </w:pPr>
      <w:r>
        <w:rPr>
          <w:sz w:val="18"/>
          <w:lang w:val="cs-CZ"/>
        </w:rPr>
      </w:r>
    </w:p>
    <w:tbl>
      <w:tblPr>
        <w:tblW w:w="9928" w:type="dxa"/>
        <w:jc w:val="left"/>
        <w:tblInd w:w="6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9"/>
        <w:gridCol w:w="7798"/>
      </w:tblGrid>
      <w:tr>
        <w:trPr>
          <w:cantSplit w:val="true"/>
        </w:trPr>
        <w:tc>
          <w:tcPr>
            <w:tcW w:w="99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b/>
                <w:bCs/>
                <w:lang w:val="cs-CZ"/>
              </w:rPr>
              <w:t>ODDÍL 16: Další informace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</w:tcPr>
          <w:p>
            <w:pPr>
              <w:pStyle w:val="NormalTab1"/>
              <w:spacing w:before="80" w:after="8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a) Změny provedené v bezpečnostním listu v rámci revize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  <w:vAlign w:val="center"/>
          </w:tcPr>
          <w:p>
            <w:pPr>
              <w:pStyle w:val="NormalTab1"/>
              <w:spacing w:before="80" w:after="8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Uvedení bezpečnostního listu do souladu s Nařízením Komise 830/2015.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  <w:vAlign w:val="center"/>
          </w:tcPr>
          <w:p>
            <w:pPr>
              <w:pStyle w:val="NormalTab1"/>
              <w:spacing w:before="80" w:after="8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b) Klíč nebo legenda ke zkratkám a zkratkovým slovům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Tab1"/>
              <w:spacing w:before="80" w:after="80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caps/>
              </w:rPr>
              <w:t>DNEL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</w:rPr>
              <w:t>Derived</w:t>
            </w:r>
            <w:r>
              <w:rPr>
                <w:rFonts w:cs="Arial" w:ascii="Arial" w:hAnsi="Arial"/>
                <w:lang w:val="cs-CZ"/>
              </w:rPr>
              <w:t xml:space="preserve"> No </w:t>
            </w:r>
            <w:r>
              <w:rPr>
                <w:rFonts w:cs="Arial" w:ascii="Arial" w:hAnsi="Arial"/>
              </w:rPr>
              <w:t>Effect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</w:rPr>
              <w:t>Level</w:t>
            </w:r>
            <w:r>
              <w:rPr>
                <w:rFonts w:cs="Arial" w:ascii="Arial" w:hAnsi="Arial"/>
                <w:lang w:val="cs-CZ"/>
              </w:rPr>
              <w:t xml:space="preserve"> (odvozená koncentrace látky, při které nedochází </w:t>
              <w:tab/>
              <w:t>k nepříznivým účinkům)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caps/>
                <w:lang w:val="cs-CZ"/>
              </w:rPr>
              <w:t>PNEC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</w:rPr>
              <w:t>Predicted</w:t>
            </w:r>
            <w:r>
              <w:rPr>
                <w:rFonts w:cs="Arial" w:ascii="Arial" w:hAnsi="Arial"/>
                <w:lang w:val="cs-CZ"/>
              </w:rPr>
              <w:t xml:space="preserve"> No </w:t>
            </w:r>
            <w:r>
              <w:rPr>
                <w:rFonts w:cs="Arial" w:ascii="Arial" w:hAnsi="Arial"/>
              </w:rPr>
              <w:t>Effect</w:t>
            </w:r>
            <w:r>
              <w:rPr>
                <w:rFonts w:cs="Arial" w:ascii="Arial" w:hAnsi="Arial"/>
                <w:lang w:val="cs-CZ"/>
              </w:rPr>
              <w:t xml:space="preserve"> </w:t>
            </w:r>
            <w:r>
              <w:rPr>
                <w:rFonts w:cs="Arial" w:ascii="Arial" w:hAnsi="Arial"/>
              </w:rPr>
              <w:t>Concentration</w:t>
            </w:r>
            <w:r>
              <w:rPr>
                <w:rFonts w:cs="Arial" w:ascii="Arial" w:hAnsi="Arial"/>
                <w:lang w:val="cs-CZ"/>
              </w:rPr>
              <w:t xml:space="preserve"> (odhad koncentrace látky, při které </w:t>
              <w:tab/>
              <w:t>nedochází        k nepříznivým účinkům)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Tab1"/>
              <w:spacing w:before="80" w:after="80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caps/>
              </w:rPr>
              <w:t>PEL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Přípustný expoziční limit dlouhodobý (8 hodin)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NPK-P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Nejvyšší přípustná koncentrace, krátkodobý limit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CLP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Nařízení ES  1272/2008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REACH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Nařízení ES 1907/2006</w:t>
            </w:r>
          </w:p>
        </w:tc>
      </w:tr>
      <w:tr>
        <w:trPr>
          <w:trHeight w:val="243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PBT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Látka perzistentní, bioakumulující se a toxická zároveň</w:t>
            </w:r>
          </w:p>
        </w:tc>
      </w:tr>
      <w:tr>
        <w:trPr>
          <w:trHeight w:val="312" w:hRule="atLeast"/>
          <w:cantSplit w:val="true"/>
        </w:trPr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vPvB</w:t>
            </w:r>
          </w:p>
        </w:tc>
        <w:tc>
          <w:tcPr>
            <w:tcW w:w="7798" w:type="dxa"/>
            <w:tcBorders/>
            <w:shd w:fill="auto" w:val="clear"/>
          </w:tcPr>
          <w:p>
            <w:pPr>
              <w:pStyle w:val="Normal"/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cs="Arial" w:ascii="Arial" w:hAnsi="Arial"/>
                <w:lang w:val="cs-CZ"/>
              </w:rPr>
              <w:t>Látka vysoce perzistentní a vysoce bioakumulující se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</w:tcPr>
          <w:p>
            <w:pPr>
              <w:pStyle w:val="NormalTab1"/>
              <w:spacing w:before="80" w:after="8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e) Seznam příslušných standardních vět o nebezpečnosti a/nebo pokynů pro bezpečné zacházení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</w:tcPr>
          <w:p>
            <w:pPr>
              <w:pStyle w:val="NormalTab1"/>
              <w:spacing w:before="80" w:after="80"/>
              <w:ind w:left="217" w:hanging="217"/>
              <w:rPr>
                <w:rFonts w:ascii="Arial" w:hAnsi="Arial" w:cs="Arial"/>
                <w:bCs/>
                <w:szCs w:val="17"/>
              </w:rPr>
            </w:pPr>
            <w:r>
              <w:rPr>
                <w:rFonts w:cs="Arial" w:ascii="Arial" w:hAnsi="Arial"/>
                <w:bCs/>
                <w:szCs w:val="17"/>
              </w:rPr>
              <w:t>Neuvedeny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</w:tcPr>
          <w:p>
            <w:pPr>
              <w:pStyle w:val="NormalTab1"/>
              <w:spacing w:before="80" w:after="80"/>
              <w:ind w:left="217" w:hanging="217"/>
              <w:rPr>
                <w:rFonts w:ascii="Arial" w:hAnsi="Arial" w:cs="Arial"/>
                <w:b/>
                <w:b/>
                <w:bCs/>
                <w:szCs w:val="17"/>
              </w:rPr>
            </w:pPr>
            <w:r>
              <w:rPr>
                <w:rFonts w:cs="Arial" w:ascii="Arial" w:hAnsi="Arial"/>
                <w:b/>
                <w:bCs/>
                <w:szCs w:val="17"/>
              </w:rPr>
              <w:t>f) Pokyny týkající se veškerých školení určených pro pracovníky zajišťující ochranu lidského zdraví a životního prostředí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  <w:vAlign w:val="center"/>
          </w:tcPr>
          <w:p>
            <w:pPr>
              <w:pStyle w:val="NormalTab1"/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Všeobecná školení pro bezpečnou práci s chemickými látkami a směsmi.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  <w:vAlign w:val="center"/>
          </w:tcPr>
          <w:p>
            <w:pPr>
              <w:pStyle w:val="NormalTab1"/>
              <w:spacing w:before="80" w:after="80"/>
              <w:rPr>
                <w:rFonts w:ascii="Arial" w:hAnsi="Arial" w:cs="Arial"/>
                <w:b/>
                <w:b/>
                <w:bCs/>
                <w:szCs w:val="17"/>
              </w:rPr>
            </w:pPr>
            <w:r>
              <w:rPr>
                <w:rFonts w:cs="Arial" w:ascii="Arial" w:hAnsi="Arial"/>
                <w:b/>
                <w:bCs/>
              </w:rPr>
              <w:t>Další informace</w:t>
            </w:r>
          </w:p>
        </w:tc>
      </w:tr>
      <w:tr>
        <w:trPr>
          <w:trHeight w:val="243" w:hRule="atLeast"/>
          <w:cantSplit w:val="true"/>
        </w:trPr>
        <w:tc>
          <w:tcPr>
            <w:tcW w:w="9927" w:type="dxa"/>
            <w:gridSpan w:val="2"/>
            <w:tcBorders/>
            <w:shd w:fill="auto" w:val="clear"/>
            <w:vAlign w:val="center"/>
          </w:tcPr>
          <w:p>
            <w:pPr>
              <w:pStyle w:val="NormalTab1"/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Obal nemusí být opatřen hmatatelnou výstrahou pro nevidomé ani uzávěrem odolným proti otevření dětmi.</w:t>
            </w:r>
          </w:p>
        </w:tc>
      </w:tr>
    </w:tbl>
    <w:p>
      <w:pPr>
        <w:pStyle w:val="Normal"/>
        <w:pBdr/>
        <w:rPr/>
      </w:pPr>
      <w:r>
        <w:rPr/>
      </w:r>
    </w:p>
    <w:sectPr>
      <w:headerReference w:type="default" r:id="rId4"/>
      <w:type w:val="nextPage"/>
      <w:pgSz w:w="11906" w:h="16838"/>
      <w:pgMar w:left="1020" w:right="1020" w:header="426" w:top="2419" w:footer="0" w:bottom="28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Arial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35" w:type="dxa"/>
      <w:jc w:val="left"/>
      <w:tblInd w:w="70" w:type="dxa"/>
      <w:tblBorders/>
      <w:tblCellMar>
        <w:top w:w="0" w:type="dxa"/>
        <w:left w:w="77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935"/>
    </w:tblGrid>
    <w:tr>
      <w:trPr>
        <w:trHeight w:val="694" w:hRule="atLeast"/>
      </w:trPr>
      <w:tc>
        <w:tcPr>
          <w:tcW w:w="9935" w:type="dxa"/>
          <w:tcBorders/>
          <w:shd w:fill="auto" w:val="clear"/>
        </w:tcPr>
        <w:p>
          <w:pPr>
            <w:pStyle w:val="Zhlav"/>
            <w:spacing w:before="120" w:after="0"/>
            <w:jc w:val="center"/>
            <w:rPr>
              <w:rFonts w:ascii="Arial" w:hAnsi="Arial" w:cs="Arial"/>
              <w:szCs w:val="28"/>
              <w:lang w:val="de-DE"/>
            </w:rPr>
          </w:pPr>
          <w:r>
            <w:rPr>
              <w:rFonts w:cs="Arial" w:ascii="Arial" w:hAnsi="Arial"/>
              <w:b/>
              <w:bCs/>
              <w:szCs w:val="28"/>
              <w:lang w:val="de-DE"/>
            </w:rPr>
            <w:t>BEZPEČNOSTNÍ LIST</w:t>
          </w:r>
          <w:r>
            <mc:AlternateContent>
              <mc:Choice Requires="wps">
                <w:drawing>
                  <wp:anchor behindDoc="0" distT="0" distB="0" distL="0" distR="0" simplePos="0" locked="0" layoutInCell="1" allowOverlap="1" relativeHeight="22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14605" cy="175260"/>
                    <wp:effectExtent l="0" t="0" r="0" b="0"/>
                    <wp:wrapSquare wrapText="largest"/>
                    <wp:docPr id="1" name="Rámec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75260"/>
                            </a:xfrm>
                            <a:prstGeom prst="rect"/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Zhlav"/>
                                  <w:pBdr/>
                                  <w:rPr>
                                    <w:rStyle w:val="Pagenumber"/>
                                  </w:rPr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6.1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Zhlav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i/>
              <w:sz w:val="16"/>
              <w:szCs w:val="18"/>
              <w:lang w:val="cs-CZ"/>
            </w:rPr>
            <w:t>Dle</w:t>
          </w:r>
          <w:r>
            <w:rPr>
              <w:rFonts w:cs="Arial" w:ascii="Arial" w:hAnsi="Arial"/>
              <w:i/>
              <w:sz w:val="16"/>
              <w:szCs w:val="18"/>
            </w:rPr>
            <w:t xml:space="preserve"> </w:t>
          </w:r>
          <w:r>
            <w:rPr>
              <w:rFonts w:cs="Arial" w:ascii="Arial" w:hAnsi="Arial"/>
              <w:i/>
              <w:sz w:val="16"/>
              <w:szCs w:val="18"/>
              <w:lang w:val="cs-CZ"/>
            </w:rPr>
            <w:t>nařízení</w:t>
          </w:r>
          <w:r>
            <w:rPr>
              <w:rFonts w:cs="Arial" w:ascii="Arial" w:hAnsi="Arial"/>
              <w:i/>
              <w:sz w:val="16"/>
              <w:szCs w:val="18"/>
            </w:rPr>
            <w:t xml:space="preserve"> (ES) č. 1907/2006</w:t>
          </w:r>
        </w:p>
      </w:tc>
    </w:tr>
  </w:tbl>
  <w:p>
    <w:pPr>
      <w:pStyle w:val="Zhlav"/>
      <w:rPr>
        <w:sz w:val="4"/>
      </w:rPr>
    </w:pPr>
    <w:r>
      <w:rPr>
        <w:sz w:val="4"/>
      </w:rPr>
    </w:r>
  </w:p>
  <w:tbl>
    <w:tblPr>
      <w:tblStyle w:val="Mkatabulky"/>
      <w:tblW w:w="9923" w:type="dxa"/>
      <w:jc w:val="left"/>
      <w:tblInd w:w="10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42"/>
      <w:gridCol w:w="1418"/>
      <w:gridCol w:w="4995"/>
      <w:gridCol w:w="1667"/>
    </w:tblGrid>
    <w:tr>
      <w:trPr/>
      <w:tc>
        <w:tcPr>
          <w:tcW w:w="1842" w:type="dxa"/>
          <w:tcBorders>
            <w:right w:val="nil"/>
            <w:insideV w:val="nil"/>
          </w:tcBorders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>
            <w:rPr>
              <w:rFonts w:cs="Arial" w:ascii="Arial" w:hAnsi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  <w:shd w:fill="auto" w:val="clear"/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sz w:val="20"/>
              <w:lang w:val="de-DE"/>
            </w:rPr>
            <w:t>6. 4. 2017</w:t>
          </w:r>
        </w:p>
      </w:tc>
      <w:tc>
        <w:tcPr>
          <w:tcW w:w="4995" w:type="dxa"/>
          <w:vMerge w:val="restart"/>
          <w:tcBorders/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>
            <w:rPr>
              <w:rFonts w:cs="Arial" w:ascii="Arial" w:hAnsi="Arial"/>
              <w:sz w:val="20"/>
              <w:lang w:val="cs-CZ"/>
            </w:rPr>
            <w:t>Název výrobku:</w:t>
          </w:r>
        </w:p>
        <w:p>
          <w:pPr>
            <w:pStyle w:val="Zhlav"/>
            <w:spacing w:before="240" w:after="60"/>
            <w:jc w:val="center"/>
            <w:rPr>
              <w:rFonts w:ascii="Arial" w:hAnsi="Arial" w:cs="Arial"/>
              <w:b/>
              <w:b/>
              <w:sz w:val="20"/>
              <w:lang w:val="de-DE"/>
            </w:rPr>
          </w:pPr>
          <w:r>
            <w:rPr>
              <w:rFonts w:cs="Arial" w:ascii="Arial" w:hAnsi="Arial"/>
              <w:b/>
              <w:sz w:val="20"/>
              <w:lang w:val="de-DE"/>
            </w:rPr>
            <w:t>POWER TRIM JET - OKNA, ZRCADLA</w:t>
          </w:r>
        </w:p>
      </w:tc>
      <w:tc>
        <w:tcPr>
          <w:tcW w:w="1667" w:type="dxa"/>
          <w:tcBorders>
            <w:bottom w:val="nil"/>
            <w:insideH w:val="nil"/>
          </w:tcBorders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jc w:val="right"/>
            <w:rPr/>
          </w:pPr>
          <w:r>
            <w:rPr>
              <w:rFonts w:cs="Arial" w:ascii="Arial" w:hAnsi="Arial"/>
              <w:sz w:val="20"/>
              <w:lang w:val="cs-CZ"/>
            </w:rPr>
            <w:t>Stránka</w:t>
          </w:r>
          <w:r>
            <w:rPr>
              <w:rFonts w:cs="Arial" w:ascii="Arial" w:hAnsi="Arial"/>
              <w:sz w:val="20"/>
              <w:lang w:val="de-DE"/>
            </w:rPr>
            <w:t xml:space="preserve"> </w:t>
          </w:r>
          <w:r>
            <w:rPr>
              <w:rFonts w:cs="Arial" w:ascii="Arial" w:hAnsi="Arial"/>
              <w:sz w:val="20"/>
              <w:lang w:val="de-DE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20"/>
              <w:lang w:val="de-DE"/>
            </w:rPr>
            <w:t xml:space="preserve"> z </w:t>
          </w:r>
          <w:r>
            <w:rPr>
              <w:rFonts w:cs="Arial" w:ascii="Arial" w:hAnsi="Arial"/>
              <w:sz w:val="20"/>
              <w:lang w:val="de-DE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  <w:tr>
      <w:trPr/>
      <w:tc>
        <w:tcPr>
          <w:tcW w:w="1842" w:type="dxa"/>
          <w:tcBorders>
            <w:right w:val="nil"/>
            <w:insideV w:val="nil"/>
          </w:tcBorders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>
            <w:rPr>
              <w:rFonts w:cs="Arial" w:ascii="Arial" w:hAnsi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  <w:shd w:fill="auto" w:val="clear"/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sz w:val="20"/>
              <w:lang w:val="de-DE"/>
            </w:rPr>
          </w:r>
        </w:p>
      </w:tc>
      <w:tc>
        <w:tcPr>
          <w:tcW w:w="4995" w:type="dxa"/>
          <w:vMerge w:val="continue"/>
          <w:tcBorders/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sz w:val="20"/>
              <w:lang w:val="de-DE"/>
            </w:rPr>
          </w:r>
        </w:p>
      </w:tc>
      <w:tc>
        <w:tcPr>
          <w:tcW w:w="1667" w:type="dxa"/>
          <w:vMerge w:val="restart"/>
          <w:tcBorders>
            <w:top w:val="nil"/>
          </w:tcBorders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de-DE"/>
            </w:rPr>
          </w:pPr>
          <w:r>
            <w:rPr/>
            <w:drawing>
              <wp:inline distT="0" distB="0" distL="19050" distR="9525">
                <wp:extent cx="733425" cy="439420"/>
                <wp:effectExtent l="0" t="0" r="0" b="0"/>
                <wp:docPr id="2" name="obrázek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842" w:type="dxa"/>
          <w:tcBorders>
            <w:right w:val="nil"/>
            <w:insideV w:val="nil"/>
          </w:tcBorders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>
            <w:rPr>
              <w:rFonts w:cs="Arial" w:ascii="Arial" w:hAnsi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  <w:shd w:fill="auto" w:val="clear"/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sz w:val="20"/>
              <w:lang w:val="de-DE"/>
            </w:rPr>
            <w:t>1</w:t>
          </w:r>
        </w:p>
      </w:tc>
      <w:tc>
        <w:tcPr>
          <w:tcW w:w="4995" w:type="dxa"/>
          <w:vMerge w:val="continue"/>
          <w:tcBorders/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sz w:val="20"/>
              <w:lang w:val="de-DE"/>
            </w:rPr>
          </w:r>
        </w:p>
      </w:tc>
      <w:tc>
        <w:tcPr>
          <w:tcW w:w="1667" w:type="dxa"/>
          <w:vMerge w:val="continue"/>
          <w:tcBorders/>
          <w:shd w:fill="auto" w:val="clear"/>
          <w:tcMar>
            <w:left w:w="108" w:type="dxa"/>
          </w:tcMar>
        </w:tcPr>
        <w:p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cs="Arial" w:ascii="Arial" w:hAnsi="Arial"/>
              <w:sz w:val="20"/>
              <w:lang w:val="de-DE"/>
            </w:rPr>
          </w:r>
        </w:p>
      </w:tc>
    </w:tr>
  </w:tbl>
  <w:p>
    <w:pPr>
      <w:pStyle w:val="Zhlav"/>
      <w:rPr>
        <w:sz w:val="6"/>
      </w:rPr>
    </w:pPr>
    <w:r>
      <w:rPr>
        <w:sz w:val="6"/>
      </w:rPr>
    </w:r>
  </w:p>
  <w:p>
    <w:pPr>
      <w:pStyle w:val="Zhlav"/>
      <w:rPr>
        <w:sz w:val="10"/>
        <w:lang w:val="de-DE"/>
      </w:rPr>
    </w:pPr>
    <w:r>
      <w:rPr>
        <w:sz w:val="10"/>
        <w:lang w:val="de-D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cs-CZ" w:bidi="ar-SA"/>
    </w:rPr>
  </w:style>
  <w:style w:type="paragraph" w:styleId="Nadpis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dpis2">
    <w:name w:val="Heading 2"/>
    <w:basedOn w:val="Normal"/>
    <w:qFormat/>
    <w:pPr>
      <w:keepNext w:val="true"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al"/>
    <w:qFormat/>
    <w:pPr>
      <w:keepNext w:val="true"/>
      <w:spacing w:before="60" w:after="0"/>
      <w:outlineLvl w:val="2"/>
    </w:pPr>
    <w:rPr>
      <w:b/>
      <w:bCs/>
      <w:lang w:val="cs-CZ"/>
    </w:rPr>
  </w:style>
  <w:style w:type="paragraph" w:styleId="Nadpis4">
    <w:name w:val="Heading 4"/>
    <w:basedOn w:val="Normal"/>
    <w:qFormat/>
    <w:pPr>
      <w:keepNext w:val="true"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al"/>
    <w:qFormat/>
    <w:pPr>
      <w:keepNext w:val="true"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al"/>
    <w:qFormat/>
    <w:pPr>
      <w:keepNext w:val="true"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al"/>
    <w:qFormat/>
    <w:pPr>
      <w:keepNext w:val="true"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al"/>
    <w:qFormat/>
    <w:pPr>
      <w:keepNext w:val="true"/>
      <w:outlineLvl w:val="7"/>
    </w:pPr>
    <w:rPr>
      <w:b/>
      <w:bCs/>
      <w:sz w:val="22"/>
    </w:rPr>
  </w:style>
  <w:style w:type="paragraph" w:styleId="Nadpis9">
    <w:name w:val="Heading 9"/>
    <w:basedOn w:val="Normal"/>
    <w:qFormat/>
    <w:pPr>
      <w:keepNext w:val="true"/>
      <w:outlineLvl w:val="8"/>
    </w:pPr>
    <w:rPr>
      <w:b/>
      <w:bCs/>
      <w:color w:val="FF0000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  <w:lang w:val="en-US"/>
    </w:rPr>
  </w:style>
  <w:style w:type="character" w:styleId="ProsttextChar" w:customStyle="1">
    <w:name w:val="Prostý text Char"/>
    <w:qFormat/>
    <w:rPr>
      <w:rFonts w:ascii="Courier New" w:hAnsi="Courier New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TextkomenteChar" w:customStyle="1">
    <w:name w:val="Text komentáře Char"/>
    <w:qFormat/>
    <w:rPr>
      <w:lang w:val="en-US"/>
    </w:rPr>
  </w:style>
  <w:style w:type="character" w:styleId="PedmtkomenteChar" w:customStyle="1">
    <w:name w:val="Předmět komentáře Char"/>
    <w:qFormat/>
    <w:rPr>
      <w:b/>
      <w:bCs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945f8"/>
    <w:rPr>
      <w:color w:val="808080"/>
    </w:rPr>
  </w:style>
  <w:style w:type="character" w:styleId="Userentry" w:customStyle="1">
    <w:name w:val="userentry"/>
    <w:basedOn w:val="DefaultParagraphFont"/>
    <w:qFormat/>
    <w:rsid w:val="002849b7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 w:val="true"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Tlotextu">
    <w:name w:val="Body Text"/>
    <w:basedOn w:val="Normal"/>
    <w:semiHidden/>
    <w:pPr/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Znaka" w:customStyle="1">
    <w:name w:val="Znaèka"/>
    <w:basedOn w:val="Normal"/>
    <w:qFormat/>
    <w:pPr/>
    <w:rPr>
      <w:sz w:val="24"/>
    </w:rPr>
  </w:style>
  <w:style w:type="paragraph" w:styleId="Texttabulky" w:customStyle="1">
    <w:name w:val="Text tabulky"/>
    <w:basedOn w:val="Normal"/>
    <w:qFormat/>
    <w:pPr>
      <w:tabs>
        <w:tab w:val="left" w:pos="450" w:leader="none"/>
        <w:tab w:val="left" w:pos="5685" w:leader="none"/>
        <w:tab w:val="left" w:pos="6840" w:leader="none"/>
        <w:tab w:val="left" w:pos="7980" w:leader="none"/>
        <w:tab w:val="left" w:pos="9105" w:leader="none"/>
      </w:tabs>
      <w:jc w:val="both"/>
    </w:pPr>
    <w:rPr>
      <w:sz w:val="18"/>
    </w:rPr>
  </w:style>
  <w:style w:type="paragraph" w:styleId="Pata" w:customStyle="1">
    <w:name w:val="Pata"/>
    <w:basedOn w:val="Normal"/>
    <w:qFormat/>
    <w:pPr/>
    <w:rPr>
      <w:sz w:val="24"/>
    </w:rPr>
  </w:style>
  <w:style w:type="paragraph" w:styleId="Zhlav">
    <w:name w:val="Header"/>
    <w:basedOn w:val="Normal"/>
    <w:semiHidden/>
    <w:pPr/>
    <w:rPr>
      <w:sz w:val="24"/>
    </w:rPr>
  </w:style>
  <w:style w:type="paragraph" w:styleId="Podnadpis1" w:customStyle="1">
    <w:name w:val="Podnadpis1"/>
    <w:basedOn w:val="Normal"/>
    <w:qFormat/>
    <w:pPr>
      <w:spacing w:before="72" w:after="72"/>
    </w:pPr>
    <w:rPr>
      <w:b/>
      <w:i/>
      <w:sz w:val="24"/>
    </w:rPr>
  </w:style>
  <w:style w:type="paragraph" w:styleId="Sloseznamu" w:customStyle="1">
    <w:name w:val="Èíslo seznamu"/>
    <w:basedOn w:val="Normal"/>
    <w:qFormat/>
    <w:pPr/>
    <w:rPr>
      <w:sz w:val="24"/>
    </w:rPr>
  </w:style>
  <w:style w:type="paragraph" w:styleId="Znaka1" w:customStyle="1">
    <w:name w:val="Znaèka 1"/>
    <w:basedOn w:val="Normal"/>
    <w:qFormat/>
    <w:pPr/>
    <w:rPr>
      <w:sz w:val="24"/>
    </w:rPr>
  </w:style>
  <w:style w:type="paragraph" w:styleId="Dka" w:customStyle="1">
    <w:name w:val="Øádka"/>
    <w:basedOn w:val="Normal"/>
    <w:qFormat/>
    <w:pPr/>
    <w:rPr>
      <w:sz w:val="24"/>
    </w:rPr>
  </w:style>
  <w:style w:type="paragraph" w:styleId="Zvr" w:customStyle="1">
    <w:name w:val="závìr"/>
    <w:basedOn w:val="Normal"/>
    <w:qFormat/>
    <w:pPr>
      <w:jc w:val="both"/>
    </w:pPr>
    <w:rPr/>
  </w:style>
  <w:style w:type="paragraph" w:styleId="Nadpisy" w:customStyle="1">
    <w:name w:val="nadpisy"/>
    <w:basedOn w:val="Normal"/>
    <w:qFormat/>
    <w:pPr>
      <w:spacing w:before="0" w:after="60"/>
      <w:jc w:val="both"/>
    </w:pPr>
    <w:rPr>
      <w:rFonts w:ascii="Arial" w:hAnsi="Arial"/>
      <w:b/>
      <w:sz w:val="18"/>
      <w:lang w:val="cs-CZ"/>
    </w:rPr>
  </w:style>
  <w:style w:type="paragraph" w:styleId="DefaultText" w:customStyle="1">
    <w:name w:val="Default Text"/>
    <w:basedOn w:val="Normal"/>
    <w:qFormat/>
    <w:pPr/>
    <w:rPr>
      <w:sz w:val="18"/>
    </w:rPr>
  </w:style>
  <w:style w:type="paragraph" w:styleId="Adresa" w:customStyle="1">
    <w:name w:val="adresa"/>
    <w:basedOn w:val="DefaultText"/>
    <w:qFormat/>
    <w:pPr>
      <w:jc w:val="center"/>
    </w:pPr>
    <w:rPr>
      <w:sz w:val="22"/>
    </w:rPr>
  </w:style>
  <w:style w:type="paragraph" w:styleId="Textlatky" w:customStyle="1">
    <w:name w:val="text latky"/>
    <w:basedOn w:val="Nadpisy"/>
    <w:qFormat/>
    <w:pPr>
      <w:spacing w:before="40" w:after="40"/>
    </w:pPr>
    <w:rPr>
      <w:rFonts w:ascii="Times New Roman" w:hAnsi="Times New Roman"/>
      <w:b w:val="false"/>
    </w:rPr>
  </w:style>
  <w:style w:type="paragraph" w:styleId="MolecularFormula" w:customStyle="1">
    <w:name w:val="Molecular Formula"/>
    <w:basedOn w:val="DefaultText"/>
    <w:qFormat/>
    <w:pPr/>
    <w:rPr>
      <w:sz w:val="20"/>
    </w:rPr>
  </w:style>
  <w:style w:type="paragraph" w:styleId="Normaltab" w:customStyle="1">
    <w:name w:val="Normaltab"/>
    <w:basedOn w:val="Normal"/>
    <w:qFormat/>
    <w:pPr/>
    <w:rPr>
      <w:lang w:val="cs-CZ" w:eastAsia="en-US"/>
    </w:rPr>
  </w:style>
  <w:style w:type="paragraph" w:styleId="NormalTab1" w:customStyle="1">
    <w:name w:val="NormalTab"/>
    <w:basedOn w:val="Normal"/>
    <w:qFormat/>
    <w:pPr>
      <w:overflowPunct w:val="true"/>
      <w:textAlignment w:val="baseline"/>
    </w:pPr>
    <w:rPr>
      <w:lang w:val="cs-CZ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cs-CZ" w:eastAsia="cs-CZ" w:bidi="ar-SA"/>
    </w:rPr>
  </w:style>
  <w:style w:type="paragraph" w:styleId="PlainText">
    <w:name w:val="Plain Text"/>
    <w:basedOn w:val="Normal"/>
    <w:semiHidden/>
    <w:qFormat/>
    <w:pPr/>
    <w:rPr>
      <w:rFonts w:ascii="Courier New" w:hAnsi="Courier New"/>
      <w:lang w:val="cs-CZ"/>
    </w:rPr>
  </w:style>
  <w:style w:type="paragraph" w:styleId="Annotationtext">
    <w:name w:val="annotation text"/>
    <w:basedOn w:val="Normal"/>
    <w:semiHidden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semiHidden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037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opa@chopa.cz" TargetMode="External"/><Relationship Id="rId3" Type="http://schemas.openxmlformats.org/officeDocument/2006/relationships/hyperlink" Target="http://www.chopa.cz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65"/>
    <w:rsid w:val="00001AFE"/>
    <w:rsid w:val="001671C3"/>
    <w:rsid w:val="00177F86"/>
    <w:rsid w:val="00204ED9"/>
    <w:rsid w:val="00604FAC"/>
    <w:rsid w:val="00652798"/>
    <w:rsid w:val="00A81783"/>
    <w:rsid w:val="00AB239C"/>
    <w:rsid w:val="00B33D4D"/>
    <w:rsid w:val="00CF7765"/>
    <w:rsid w:val="00D60224"/>
    <w:rsid w:val="00E30326"/>
    <w:rsid w:val="00E33E32"/>
    <w:rsid w:val="00EB2893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1E17-1637-474C-9F24-6DF03FB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0</TotalTime>
  <Application>LibreOffice/5.4.4.2$Windows_x86 LibreOffice_project/2524958677847fb3bb44820e40380acbe820f960</Application>
  <Pages>17</Pages>
  <Words>2504</Words>
  <Characters>15572</Characters>
  <CharactersWithSpaces>17773</CharactersWithSpaces>
  <Paragraphs>461</Paragraphs>
  <Company>VUOS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2018-01-31T05:35:00Z</dcterms:created>
  <dc:creator>Marcela Šaldová</dc:creator>
  <dc:description/>
  <dc:language>cs-CZ</dc:language>
  <cp:lastModifiedBy>Dagmar Bezdičková</cp:lastModifiedBy>
  <cp:lastPrinted>2017-03-27T10:49:00Z</cp:lastPrinted>
  <dcterms:modified xsi:type="dcterms:W3CDTF">2018-01-31T05:35:00Z</dcterms:modified>
  <cp:revision>2</cp:revision>
  <dc:subject/>
  <dc:title>Bezpečnostní list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VUOS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