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Identifikace látky/směsi a společnosti/podniku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Identifikátor výrobku : 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Dr.DEVIL – WC gel Polar Aqua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Příslušná určená použití látky nebo směsi a nedoporučená použití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Čisticí prostředek na WC.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Podrobné údaje o dodavateli bezpečnostního listu :</w:t>
      </w:r>
    </w:p>
    <w:p>
      <w:pPr>
        <w:pStyle w:val="Normal"/>
        <w:ind w:firstLine="708"/>
        <w:jc w:val="both"/>
        <w:rPr>
          <w:sz w:val="24"/>
          <w:lang w:val="de-DE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Název společnosti : </w:t>
        <w:tab/>
        <w:tab/>
        <w:t>TOMIL s.r.o.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Místo podnikání nebo sídlo : </w:t>
        <w:tab/>
        <w:t>Gen. Svatoně 149/IV, 566 01 Vysoké Mýto,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Telefon :</w:t>
        <w:tab/>
        <w:tab/>
        <w:tab/>
        <w:t>00420 465 503 230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Fax :</w:t>
        <w:tab/>
        <w:tab/>
        <w:tab/>
        <w:tab/>
        <w:t>00420 465 503 211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E-mail :</w:t>
        <w:tab/>
        <w:tab/>
        <w:tab/>
        <w:t>info@tomil.cz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Internetová adresa :</w:t>
        <w:tab/>
        <w:tab/>
        <w:t>www.tomil.cz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Kontaktní osoba :</w:t>
        <w:tab/>
        <w:tab/>
        <w:t>Pavel Beran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Telefonní číslo pro naléhavé situace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Toxikologické informační středisko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Identifikace nebezpečnosti 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Klasifikace látky nebo směsi :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Klasifikace dle Nařízení (ES) č.1272/2008 :</w:t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Třída nebezpečnosti : Vážné poškození očí / podráždění očí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Eye Dam.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ab/>
        <w:t xml:space="preserve">      </w:t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>
      <w:pPr>
        <w:pStyle w:val="Tlotextu"/>
        <w:tabs>
          <w:tab w:val="left" w:pos="14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Výstražný symbol :    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   </w:t>
      </w:r>
      <w:r>
        <w:rPr>
          <w:sz w:val="24"/>
          <w:szCs w:val="24"/>
        </w:rPr>
        <w:object>
          <v:shape id="ole_rId2" style="width:45.75pt;height:45.75pt" o:ole="">
            <v:imagedata r:id="rId3" o:title=""/>
          </v:shape>
          <o:OLEObject Type="Embed" ProgID="CorelDraw.Graphic.9" ShapeID="ole_rId2" DrawAspect="Content" ObjectID="_2025313479" r:id="rId2"/>
        </w:objec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P101 : </w:t>
      </w:r>
      <w:r>
        <w:rPr>
          <w:sz w:val="24"/>
          <w:szCs w:val="24"/>
        </w:rPr>
        <w:t>Je-li nutná lékařská pomoc, mějte po ruce obal nebo štítek výrobku.</w:t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P280 : Používejte ochranné brýle.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P310 : </w:t>
      </w:r>
      <w:r>
        <w:rPr>
          <w:sz w:val="24"/>
          <w:szCs w:val="24"/>
        </w:rPr>
        <w:t>Okamžitě volejte TOXIKOLOGICKÉ INFORMAČNÍ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STŘEDISKO/lékaře.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P305 + P351 + P338 : PŘI ZASAŽENÍ OČÍ: Několik minut opatrně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 xml:space="preserve">vyplachujte vodou. Vyjměte </w:t>
        <w:tab/>
        <w:t>kontaktní čočky, jsou-li nasazeny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>pokud je lze vyjmout snadno. Pokračujte ve vyplachování.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EUH208 : </w:t>
      </w:r>
      <w:r>
        <w:rPr>
          <w:sz w:val="24"/>
          <w:szCs w:val="24"/>
        </w:rPr>
        <w:t>Obsahuje 1,2-benzoisothiazol-3(2H)-on. Může vyvolat alergickou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reakci.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rStyle w:val="Hps"/>
          <w:sz w:val="24"/>
          <w:szCs w:val="24"/>
        </w:rPr>
        <w:t>Obsahuje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sulfonové kyseliny</w:t>
      </w:r>
      <w:r>
        <w:rPr>
          <w:sz w:val="24"/>
          <w:szCs w:val="24"/>
        </w:rPr>
        <w:t xml:space="preserve">, </w:t>
      </w:r>
      <w:r>
        <w:rPr>
          <w:rStyle w:val="Hps"/>
          <w:sz w:val="24"/>
          <w:szCs w:val="24"/>
        </w:rPr>
        <w:t>C14-17</w:t>
      </w:r>
      <w:r>
        <w:rPr>
          <w:rStyle w:val="Atn"/>
          <w:sz w:val="24"/>
          <w:szCs w:val="24"/>
        </w:rPr>
        <w:t>-</w:t>
      </w:r>
      <w:r>
        <w:rPr>
          <w:sz w:val="24"/>
          <w:szCs w:val="24"/>
        </w:rPr>
        <w:t>sek</w:t>
      </w:r>
      <w:r>
        <w:rPr>
          <w:rStyle w:val="Atn"/>
          <w:sz w:val="24"/>
          <w:szCs w:val="24"/>
        </w:rPr>
        <w:t>.</w:t>
      </w:r>
      <w:r>
        <w:rPr>
          <w:sz w:val="24"/>
          <w:szCs w:val="24"/>
        </w:rPr>
        <w:t xml:space="preserve">alkan, </w:t>
      </w:r>
      <w:r>
        <w:rPr>
          <w:rStyle w:val="Hps"/>
          <w:sz w:val="24"/>
          <w:szCs w:val="24"/>
        </w:rPr>
        <w:t>sodné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soli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rPr>
          <w:i/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>
        <w:rPr>
          <w:i/>
        </w:rPr>
        <w:t>Nařízení Evropského parlamentu a Rady (ES) č.648/2004 o</w:t>
      </w:r>
    </w:p>
    <w:p>
      <w:pPr>
        <w:pStyle w:val="Tlotextu"/>
        <w:rPr>
          <w:i/>
          <w:i/>
        </w:rPr>
      </w:pPr>
      <w:r>
        <w:rPr>
          <w:i/>
        </w:rPr>
        <w:tab/>
        <w:t>detergentech,v platném znění 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i/>
        </w:rPr>
        <w:tab/>
        <w:tab/>
      </w:r>
      <w:r>
        <w:rPr>
          <w:sz w:val="24"/>
          <w:szCs w:val="24"/>
        </w:rPr>
        <w:t>&lt; 5 % aniontové a neiontové povrchově aktivní látky, parfém, alpha-isomethyl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>ionone, citronellol, hexyl cinnamal, benzisothiazolinone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Jiná rizika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Složení/informace o složkách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Látky 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Netýká se, výrobek je směs.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>
      <w:pPr>
        <w:pStyle w:val="Normal"/>
        <w:ind w:left="36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Gelový přípravek na bázi &lt; 5 % anionaktivních a neionogenních tenzidů  s přídavkem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ethanolu,  parfému a kyseliny citronové.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Výrobek obsahuje následující nebezpečné látky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2"/>
        <w:gridCol w:w="1164"/>
        <w:gridCol w:w="1276"/>
        <w:gridCol w:w="993"/>
        <w:gridCol w:w="1559"/>
        <w:gridCol w:w="2267"/>
      </w:tblGrid>
      <w:tr>
        <w:trPr/>
        <w:tc>
          <w:tcPr>
            <w:tcW w:w="1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sulfonové kyseliny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Style w:val="Hps"/>
                <w:sz w:val="18"/>
                <w:szCs w:val="18"/>
              </w:rPr>
              <w:t>C14-17</w:t>
            </w:r>
            <w:r>
              <w:rPr>
                <w:rStyle w:val="Atn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sek</w:t>
            </w:r>
            <w:r>
              <w:rPr>
                <w:rStyle w:val="Atn"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alkan, </w:t>
            </w:r>
            <w:r>
              <w:rPr>
                <w:rStyle w:val="Hps"/>
                <w:sz w:val="18"/>
                <w:szCs w:val="18"/>
              </w:rPr>
              <w:t>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 xml:space="preserve">soli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(koncentrace 60%)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7.5 – 9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97489-15-1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307-055-2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01-2119489924-20-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Skin Irrit. 2                    H315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ethanol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4 – 5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64-17-5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200-578-6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01-2119457610-43-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Flam. Liq. 2                   H225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alkoholy, C12-15-rozvětvené a lineární, etoxylované (&gt;5 - &lt; 15 EO)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4 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106232-83-1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932-186-2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kyselina citronová, monohydrát</w:t>
            </w:r>
          </w:p>
        </w:tc>
        <w:tc>
          <w:tcPr>
            <w:tcW w:w="116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0.1 – 0.3</w:t>
            </w:r>
          </w:p>
        </w:tc>
        <w:tc>
          <w:tcPr>
            <w:tcW w:w="1276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3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01-2119457026-42-</w:t>
            </w:r>
          </w:p>
        </w:tc>
        <w:tc>
          <w:tcPr>
            <w:tcW w:w="2267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0.01 – 0.02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podléhá pozdější registraci 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      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</w:tc>
      </w:tr>
    </w:tbl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jc w:val="both"/>
        <w:rPr>
          <w:color w:val="FF0000"/>
          <w:sz w:val="24"/>
        </w:rPr>
      </w:pPr>
      <w:r>
        <w:rPr>
          <w:color w:val="FF0000"/>
          <w:sz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Pozn. : Žéádná látka obsažená v parfému nepodléhá povinné deklaraci dle </w:t>
      </w:r>
      <w:r>
        <w:rPr>
          <w:rStyle w:val="Hps"/>
          <w:color w:val="000000" w:themeColor="text1"/>
          <w:sz w:val="24"/>
          <w:szCs w:val="24"/>
        </w:rPr>
        <w:t>Nařízení</w:t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Komise (EU) 2015/830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sz w:val="24"/>
        </w:rPr>
      </w:pPr>
      <w:r>
        <w:rPr>
          <w:sz w:val="24"/>
        </w:rPr>
        <w:t>Pozn.: Plné znění standardních vět o nebezpečnosti (tzv.H-vět) uvedeno v oddílu 16.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Pokyny pro první pomoc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Popis první pomoci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se projeví zdravotní potíže, nebo v případě pochybností či nehody, vyhledejte </w:t>
        <w:tab/>
        <w:t xml:space="preserve">lékařskou pomoc a lékaři poskytněte informace z bezpečnostního listu. Postiženému </w:t>
        <w:tab/>
        <w:t>vždy zajistěte duševní klid a zabraňte jeho případnému prochladnutí.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 případě bezvědomí postiženého uložte a transportujte ho k lékaři ve stabilizované </w:t>
        <w:tab/>
        <w:t>poloze. Pokud postižený nedýchá, okamžitě začněte provádět umělé dýchání.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nadýchání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Dopravte postiženého na čerstvý vzduch a zajistěte tělesný i duševní klid. Nenechte </w:t>
        <w:tab/>
        <w:t>prochladnout. Přetrvává-li dráždění, vyhledejte lékařskou pomoc.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styku s kůží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odložte veškeré kontaminované oblečení. Zasažené části pokožky </w:t>
        <w:tab/>
        <w:t xml:space="preserve">oplachujte  pod tekoucí vlažnou vodou alespoň 15 minut. Pokud není poraněna </w:t>
        <w:tab/>
        <w:t xml:space="preserve">pokožka, je vhodné použít mýdlo či mýdlovou vodu. Při přetrvávajícím dráždění </w:t>
        <w:tab/>
        <w:t>vyhledejte lékařskou pomoc.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zasažení očí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má postižený kontaktní čočky,neprodleně je vyjměte. Poté okamžitě začněte </w:t>
        <w:tab/>
        <w:t xml:space="preserve">vyplachovat oči při otevřených víčkách směrem od vnitřního koutku k vnějšímu </w:t>
        <w:tab/>
        <w:t>proudem pitné vody po dobu nejméně 15 minut. Vyhledejte lékařskou pomoc.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požití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postiženému vypláchněte ústní dutinu pitnou vodou a poté mu dejte vypít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2 – 5 dl chladné vody. Vyhledejte lékařskou pomoc.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Nejdůležitější akutní a opožděné symptomy a účinky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Může způsobit vážné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požití může způsobit zvracení a průjmy.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Pokyn týkající se okamžité lékařské pomoci a zvláštního ošetření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specifikováno.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Opatření pro hašení požáru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Hasiva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Vhodná hasiva : přípravek je nehořlavý, hašení se přizpůsobuje charakteru požáru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Nevhodná hasiva : určuje se podle okolního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nebezpečnost vyplývající z látky nebo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je nehořlavý, zanedbatelné požární riziko.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Pokyny pro hasiče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Nevstupovat do prostoru požáru bez odpovídajícího ochranného oblečení a </w:t>
        <w:tab/>
        <w:t>nezávislého dýchacího přístroje.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Opatření v případě náhodného úniku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osob, ochranné prostředky a nouzové postupy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Zabraňte přímému kontaktu s pokožkou a očima. Používejte vhodné osobní ochranné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prostředky. Větrejte uzavřené prostory. V případě větší havárie označte zřetelně místo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úniku a izolujte je. Nepovolané osoby udržujte mimo zasaženou oblast. O havárii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uvědomte místní nouzové středisko (policie,hasiči).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životního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Zabraňte proniknutí výrobku do povrchových i spodních vod (kromě určeného </w:t>
        <w:tab/>
        <w:t>způsobu použití).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Metody a materiál pro omezení úniku a pro čištění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Přípravek pokryjte vhodným adsorbujícím materiálem (písek, křemelina, zemina a jiné </w:t>
        <w:tab/>
        <w:t xml:space="preserve">vhodné adsorpční materiály, apod.), shromážděte v dobře uzavřených nádobách a </w:t>
        <w:tab/>
        <w:t xml:space="preserve">odstraňte jako nebezpečný odpad. Sebraný materiál zneškodňujte v souladu s místně </w:t>
        <w:tab/>
        <w:t xml:space="preserve">platnými předpisy. Při úniku velkých množství přípravku informujte hasiče. Při úniku </w:t>
        <w:tab/>
        <w:t>do kanalizace informujte VAK (Vodovody a kanalizace).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Odkaz na jiné oddíly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Ostatní : viz oddíly 8 a 13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Zacházení a skladování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pro bezpečné zacházení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Dodržujte pokyny dle návodu k použití. Při práci nejezte, nepijte, nekuřte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zachovávejte pravidla osobní hygieny. Zamezte přímému kontaktu s očima a </w:t>
        <w:tab/>
        <w:t>pokožkou, používejte vhodné osobní ochranné prostředky.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Podmínky pro bezpečné skladování látek a směsí včetně neslučitelných látek a směsí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v originálním balení, v dobře větraných místnostech, při teplotách 5 – 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mimo dosah potravin, nápojů a krmiv.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Specifické konečné/specifická konečná použití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Žádné informace o specifických konečných použitích.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Omezování expozice/Osobní ochranné prostředky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Kontrolní parametry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obsahuje látky, pro něž jsou v České republice stanoveny nejvyšší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3"/>
        <w:gridCol w:w="1134"/>
        <w:gridCol w:w="2268"/>
        <w:gridCol w:w="2693"/>
      </w:tblGrid>
      <w:tr>
        <w:trPr/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Přípustný expoziční limit (PEL)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Nejvyšší přípustná koncentrace (NPK-P)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ethanol</w:t>
            </w:r>
          </w:p>
        </w:tc>
        <w:tc>
          <w:tcPr>
            <w:tcW w:w="116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4 – 5 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64-17-5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1000 mg.m</w:t>
            </w:r>
            <w:r>
              <w:rPr>
                <w:vertAlign w:val="superscript"/>
                <w:lang w:val="en-GB"/>
              </w:rPr>
              <w:t>-3</w:t>
            </w:r>
          </w:p>
        </w:tc>
        <w:tc>
          <w:tcPr>
            <w:tcW w:w="26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2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3000 mg.m</w:t>
            </w:r>
            <w:r>
              <w:rPr>
                <w:vertAlign w:val="superscript"/>
                <w:lang w:val="en-GB"/>
              </w:rPr>
              <w:t>-3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  <w:t>DNEL (odvozená úroveň, při které nedochází k nepříznivým účinkům)</w:t>
      </w:r>
    </w:p>
    <w:p>
      <w:pPr>
        <w:pStyle w:val="ListParagraph"/>
        <w:ind w:left="708" w:firstLine="708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3"/>
        <w:gridCol w:w="1559"/>
        <w:gridCol w:w="2128"/>
        <w:gridCol w:w="2408"/>
      </w:tblGrid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35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12,4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7,1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3"/>
        <w:gridCol w:w="1559"/>
        <w:gridCol w:w="2128"/>
        <w:gridCol w:w="2408"/>
      </w:tblGrid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212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krátkodobá;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lokální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2,8 mg.cm</w:t>
            </w:r>
            <w:r>
              <w:rPr>
                <w:vertAlign w:val="superscript"/>
                <w:lang w:val="en-GB"/>
              </w:rPr>
              <w:t xml:space="preserve">-2 </w:t>
            </w:r>
            <w:r>
              <w:rPr>
                <w:lang w:val="en-GB"/>
              </w:rPr>
              <w:t>(pracovník)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alkyl-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sulfát sodný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97489-15-1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tabs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3,57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 (odhad koncentrace, při které nedochází k nepříznivým účinkům)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5812" w:type="dxa"/>
        <w:jc w:val="left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0"/>
        <w:gridCol w:w="3401"/>
      </w:tblGrid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sec. C14-17 alkylsulfát sodný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0,004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0,06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0,94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9,4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600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potraviny (orálně)</w:t>
            </w:r>
          </w:p>
        </w:tc>
        <w:tc>
          <w:tcPr>
            <w:tcW w:w="3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5" w:type="dxa"/>
            </w:tcMar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53,3 mg/kg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Omezování expozice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práci nejezte, nepijte a nekuřte. Po práci si umyjte ruce teplou vodou a mýdlem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 brýle.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>
      <w:pPr>
        <w:pStyle w:val="Normal"/>
        <w:jc w:val="both"/>
        <w:rPr>
          <w:sz w:val="24"/>
          <w:szCs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Ochranný oděv a obuv. Znečištěné kusy oděvu je nutné před opětovným použitím </w:t>
        <w:tab/>
        <w:t>vyprat.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8.2.3.</w:t>
        <w:tab/>
        <w:t>Omezování expozice životního 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Fyzikální a chemické vlastnosti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vzhled : modrý gel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pH : 3,5 – 4,5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hořlavost : pro přípravek nestanoveno,složky nejsou hořlavé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relativní hustota : ± 1,0 g/cm</w:t>
      </w:r>
      <w:r>
        <w:rPr>
          <w:sz w:val="24"/>
          <w:vertAlign w:val="superscript"/>
        </w:rPr>
        <w:t>3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výbušné vlastnosti : pro přípravek nestanoveno,složky nejsou výbušné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10 : Stálost a reaktivita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Reaktivita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nestanoveno.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Chemická stabilita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Možnost nebezpečných reakcí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známo.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Podmínky,kterým je třeba zabránit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Neslučitelné materiály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materiály, se kterými by přípravek reagoval za vzniku nebezpečných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Nebezpečné produkty rozkladu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toxikologických účincích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akutní toxicita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poškození očí.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Množství obsažených složek je pod limitem pro klasifikaci přípravku. 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Toxicita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Persistence a rozložitelnost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color w:val="000000" w:themeColor="text1"/>
          <w:sz w:val="24"/>
        </w:rPr>
        <w:t xml:space="preserve">Povrchově aktivní látky obsaženy v tomto přípravku jsou v souladu s kriterii </w:t>
        <w:tab/>
        <w:t>biodegradability podle Nařízení EU č.648/2004 o detergentech. Údaje potvrzující toto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přímou žádost nebo na žádost výrobce detergentu.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Bioakumulační potenciál :</w:t>
      </w:r>
      <w:r>
        <w:rPr>
          <w:sz w:val="24"/>
        </w:rPr>
        <w:t xml:space="preserve"> 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Mobilita v půdě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Přípravek nesplňuje kriteria pro zařazení,obsažené látky nepatří mezi látky PBT a </w:t>
        <w:tab/>
        <w:t>vPvB.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Pokyny pro odstraňování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  <w:t>Metody nakládání s odpady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  <w:tab/>
        <w:t>zneškodňování odpadů.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Malé množství směsi lze odstranit rozředěním velkým množstvím vody na podlimitní </w:t>
        <w:tab/>
        <w:t xml:space="preserve">koncentraci stanovenou pro povrchové vody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obalu: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Prázdný obal důkladně vypláchněte vodou a zneškodněte v rámci tříděného odpadu.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Zařazení odpadu podle vyhlášky MŽP č. 381/2001 Sb.: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a)  kód druhu odpadu: 150102</w:t>
        <w:tab/>
        <w:tab/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název druhu odpadu: plastový obal</w:t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kategorie odpadu: O</w:t>
        <w:tab/>
        <w:tab/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podle Dodatku I a II Basilejské úmluvy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UN číslo :</w:t>
      </w:r>
      <w:r>
        <w:rPr>
          <w:sz w:val="24"/>
        </w:rPr>
        <w:tab/>
        <w:t>neaplikovatelné.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Oficiální (OSN) pojmenování pro přepravu :</w:t>
      </w:r>
      <w:r>
        <w:rPr>
          <w:sz w:val="24"/>
        </w:rPr>
        <w:t xml:space="preserve"> žádné nebezpečné zboží ve smyslu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ab/>
        <w:tab/>
        <w:tab/>
        <w:tab/>
        <w:tab/>
        <w:t>dopravních 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MARPOL a předpisu IBC :</w:t>
      </w:r>
      <w:r>
        <w:rPr>
          <w:sz w:val="24"/>
        </w:rPr>
        <w:t xml:space="preserve"> </w:t>
        <w:tab/>
        <w:t>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bezpečnosti, zdraví a životního prostředí/specifické právní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č.1907/2006,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č.1272/2008,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18"/>
        </w:numPr>
        <w:jc w:val="both"/>
        <w:rPr>
          <w:i/>
          <w:i/>
          <w:sz w:val="24"/>
        </w:rPr>
      </w:pPr>
      <w:r>
        <w:rPr>
          <w:i/>
          <w:sz w:val="24"/>
        </w:rPr>
        <w:t>Národní právní předpisy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>
      <w:pPr>
        <w:pStyle w:val="Tlotextu"/>
        <w:rPr/>
      </w:pPr>
      <w:r>
        <w:rPr/>
        <w:tab/>
        <w:t xml:space="preserve">          zákona č. 71/2000 Sb.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Zákon č. 258/2000 Sb., o ochraně veřejného zdraví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Posouzení chemické 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>
      <w:pPr>
        <w:pStyle w:val="Tlotextu"/>
        <w:rPr>
          <w:color w:val="000000" w:themeColor="text1"/>
          <w:szCs w:val="24"/>
        </w:rPr>
      </w:pPr>
      <w:r>
        <w:rPr>
          <w:color w:val="000000" w:themeColor="text1"/>
          <w:szCs w:val="24"/>
        </w:rPr>
      </w:r>
    </w:p>
    <w:p>
      <w:pPr>
        <w:pStyle w:val="Tlotextu"/>
        <w:ind w:firstLine="708"/>
        <w:rPr>
          <w:i/>
          <w:i/>
        </w:rPr>
      </w:pPr>
      <w:r>
        <w:rPr>
          <w:i/>
        </w:rPr>
        <w:t>Plné znění H-vět uvedených v pododdílu 3.2.: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225:</w:t>
        <w:tab/>
        <w:t xml:space="preserve">Vysoce hořlavá kapalina a páry. 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302:</w:t>
        <w:tab/>
        <w:t>Zdraví škodlivý při požití.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315:</w:t>
        <w:tab/>
        <w:t>Dráždí kůži.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317:</w:t>
        <w:tab/>
        <w:t>Může vyvolat alergickou kožní reakci.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318:</w:t>
        <w:tab/>
        <w:t>Způsobuje vážné poškození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319:</w:t>
        <w:tab/>
        <w:t>Způsobuje vážné podráždění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400: Vysoce toxický pro vodní organismy.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412: Škodlivý pro vodní organismy, s dlouhodobými účinky.</w:t>
      </w:r>
    </w:p>
    <w:p>
      <w:pPr>
        <w:pStyle w:val="Tlotextu"/>
        <w:rPr/>
      </w:pPr>
      <w:r>
        <w:rPr/>
      </w:r>
    </w:p>
    <w:p>
      <w:pPr>
        <w:pStyle w:val="Tlotextu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  <w:tab/>
        <w:t>Pokyny pro školení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(směsmi), musí být v potřebném rozsahu seznámeni  s účinky těchto látek a směsí, se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způsoby, jak s nimi zacházet, s ochrannými opatřeními, se zásadami první pomoci,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i/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Směs by neměla být použita pro žádný jiný účel,než pro který je určena 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Další i</w:t>
      </w:r>
      <w:r>
        <w:rPr>
          <w:i/>
        </w:rPr>
        <w:t>nformace důležité z hlediska bezpečnosti a ochrany zdraví člověka :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  <w:t>Do práce by neměly být zařazovány osoby s alergickou anamnézou.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  <w:t>Zdroje nejdůležitějších údajů při sestavování bezpečnostního listu :</w:t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</w:r>
    </w:p>
    <w:p>
      <w:pPr>
        <w:pStyle w:val="Tlotextu"/>
        <w:ind w:left="705" w:hanging="0"/>
        <w:rPr/>
      </w:pPr>
      <w:r>
        <w:rPr/>
        <w:t>Bezpečnostní listy použitých látek a směsí.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>
          <w:i/>
        </w:rPr>
        <w:t>Důvod revize :</w:t>
      </w:r>
      <w:r>
        <w:rPr/>
        <w:t xml:space="preserve">   úprava bezpečnostního listu dle Nařízení Komise (EU) 2015/830 </w:t>
      </w:r>
    </w:p>
    <w:p>
      <w:pPr>
        <w:pStyle w:val="Tlotextu"/>
        <w:ind w:left="3537" w:firstLine="3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/>
      </w:pPr>
      <w:r>
        <w:rPr>
          <w:sz w:val="24"/>
        </w:rPr>
        <w:t xml:space="preserve"> </w:t>
      </w:r>
    </w:p>
    <w:sectPr>
      <w:headerReference w:type="defaul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BEZPEČNOSTNÍ LIST </w:t>
    </w:r>
  </w:p>
  <w:p>
    <w:pPr>
      <w:pStyle w:val="Normal"/>
      <w:jc w:val="center"/>
      <w:rPr>
        <w:sz w:val="28"/>
      </w:rPr>
    </w:pPr>
    <w:r>
      <w:rPr>
        <w:sz w:val="28"/>
      </w:rPr>
      <w:t>dle NAŘÍZENÍ KOMISE (EU) č.453/2010 ze dne 20.května 2010,</w:t>
    </w:r>
  </w:p>
  <w:p>
    <w:pPr>
      <w:pStyle w:val="Normal"/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>
    <w:pPr>
      <w:pStyle w:val="Normal"/>
      <w:jc w:val="center"/>
      <w:rPr>
        <w:sz w:val="28"/>
      </w:rPr>
    </w:pPr>
    <w:r>
      <w:rPr>
        <w:sz w:val="28"/>
      </w:rPr>
      <w:t>o registraci,povolování a omezování chemických látek (REACH)</w:t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Normal"/>
      <w:jc w:val="both"/>
      <w:rPr/>
    </w:pPr>
    <w:r>
      <w:rPr>
        <w:sz w:val="28"/>
      </w:rPr>
      <w:t>Datum vydání : 08.03.2007</w:t>
      <w:tab/>
      <w:tab/>
      <w:tab/>
      <w:tab/>
      <w:tab/>
      <w:tab/>
      <w:t xml:space="preserve">Strana </w:t>
    </w:r>
    <w:r>
      <w:rPr>
        <w:rStyle w:val="Pagenumber"/>
        <w:sz w:val="28"/>
        <w:szCs w:val="28"/>
      </w:rPr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  <w:r>
      <w:rPr>
        <w:rStyle w:val="Pagenumber"/>
        <w:sz w:val="28"/>
        <w:szCs w:val="28"/>
      </w:rPr>
      <w:t>/14</w:t>
    </w:r>
  </w:p>
  <w:p>
    <w:pPr>
      <w:pStyle w:val="Nadpis4"/>
      <w:rPr/>
    </w:pPr>
    <w:r>
      <w:rPr/>
      <w:t>Datum poslední revize :28.06.2016</w:t>
    </w:r>
  </w:p>
  <w:p>
    <w:pPr>
      <w:pStyle w:val="Normal"/>
      <w:rPr>
        <w:sz w:val="28"/>
        <w:szCs w:val="28"/>
      </w:rPr>
    </w:pPr>
    <w:r>
      <w:rPr>
        <w:sz w:val="28"/>
        <w:szCs w:val="28"/>
      </w:rPr>
      <w:t>Nahrazuje vydání ze dne : 08.01.2015</w:t>
    </w:r>
  </w:p>
  <w:p>
    <w:pPr>
      <w:pStyle w:val="Normal"/>
      <w:rPr/>
    </w:pPr>
    <w:r>
      <w:rPr/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Zhlav"/>
      <w:jc w:val="center"/>
      <w:rPr/>
    </w:pPr>
    <w:r>
      <w:rPr>
        <w:sz w:val="28"/>
      </w:rPr>
      <w:t xml:space="preserve">Název výrobku: </w:t>
    </w:r>
    <w:r>
      <w:rPr>
        <w:b/>
        <w:bCs/>
        <w:sz w:val="28"/>
      </w:rPr>
      <w:t>Dr.DEVIL – WC gel Polar Aqua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7"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8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qFormat/>
    <w:pPr>
      <w:keepNext w:val="true"/>
      <w:jc w:val="both"/>
      <w:outlineLvl w:val="0"/>
    </w:pPr>
    <w:rPr>
      <w:sz w:val="24"/>
    </w:rPr>
  </w:style>
  <w:style w:type="paragraph" w:styleId="Nadpis2">
    <w:name w:val="Heading 2"/>
    <w:basedOn w:val="Normal"/>
    <w:qFormat/>
    <w:pPr>
      <w:keepNext w:val="true"/>
      <w:ind w:left="708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 w:val="true"/>
      <w:ind w:left="480" w:hanging="0"/>
      <w:jc w:val="both"/>
      <w:outlineLvl w:val="2"/>
    </w:pPr>
    <w:rPr>
      <w:sz w:val="24"/>
    </w:rPr>
  </w:style>
  <w:style w:type="paragraph" w:styleId="Nadpis4">
    <w:name w:val="Heading 4"/>
    <w:basedOn w:val="Normal"/>
    <w:qFormat/>
    <w:pPr>
      <w:keepNext w:val="true"/>
      <w:jc w:val="both"/>
      <w:outlineLvl w:val="3"/>
    </w:pPr>
    <w:rPr>
      <w:sz w:val="28"/>
    </w:rPr>
  </w:style>
  <w:style w:type="paragraph" w:styleId="Nadpis5">
    <w:name w:val="Heading 5"/>
    <w:basedOn w:val="Normal"/>
    <w:qFormat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b45511"/>
    <w:rPr>
      <w:color w:val="0000FF"/>
      <w:u w:val="single"/>
    </w:rPr>
  </w:style>
  <w:style w:type="character" w:styleId="Pagenumber">
    <w:name w:val="page number"/>
    <w:basedOn w:val="DefaultParagraphFont"/>
    <w:qFormat/>
    <w:rsid w:val="00185a22"/>
    <w:rPr/>
  </w:style>
  <w:style w:type="character" w:styleId="Hps" w:customStyle="1">
    <w:name w:val="hps"/>
    <w:qFormat/>
    <w:rsid w:val="00ab14cf"/>
    <w:rPr/>
  </w:style>
  <w:style w:type="character" w:styleId="TextbublinyChar" w:customStyle="1">
    <w:name w:val="Text bubliny Char"/>
    <w:link w:val="Textbubliny"/>
    <w:qFormat/>
    <w:rsid w:val="00581fc4"/>
    <w:rPr>
      <w:rFonts w:ascii="Tahoma" w:hAnsi="Tahoma" w:cs="Tahoma"/>
      <w:sz w:val="16"/>
      <w:szCs w:val="16"/>
    </w:rPr>
  </w:style>
  <w:style w:type="character" w:styleId="Atn" w:customStyle="1">
    <w:name w:val="atn"/>
    <w:basedOn w:val="DefaultParagraphFont"/>
    <w:qFormat/>
    <w:rsid w:val="00607338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sz w:val="24"/>
      <w:u w:val="none"/>
    </w:rPr>
  </w:style>
  <w:style w:type="character" w:styleId="ListLabel10">
    <w:name w:val="ListLabel 10"/>
    <w:qFormat/>
    <w:rPr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sz w:val="24"/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sz w:val="24"/>
      <w:u w:val="none"/>
    </w:rPr>
  </w:style>
  <w:style w:type="character" w:styleId="ListLabel28">
    <w:name w:val="ListLabel 28"/>
    <w:qFormat/>
    <w:rPr>
      <w:sz w:val="24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sz w:val="24"/>
      <w:u w:val="none"/>
    </w:rPr>
  </w:style>
  <w:style w:type="character" w:styleId="ListLabel37">
    <w:name w:val="ListLabel 37"/>
    <w:qFormat/>
    <w:rPr>
      <w:u w:val="none"/>
    </w:rPr>
  </w:style>
  <w:style w:type="character" w:styleId="ListLabel38">
    <w:name w:val="ListLabel 38"/>
    <w:qFormat/>
    <w:rPr>
      <w:u w:val="none"/>
    </w:rPr>
  </w:style>
  <w:style w:type="character" w:styleId="ListLabel39">
    <w:name w:val="ListLabel 39"/>
    <w:qFormat/>
    <w:rPr>
      <w:u w:val="none"/>
    </w:rPr>
  </w:style>
  <w:style w:type="character" w:styleId="ListLabel40">
    <w:name w:val="ListLabel 40"/>
    <w:qFormat/>
    <w:rPr>
      <w:u w:val="none"/>
    </w:rPr>
  </w:style>
  <w:style w:type="character" w:styleId="ListLabel41">
    <w:name w:val="ListLabel 41"/>
    <w:qFormat/>
    <w:rPr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sz w:val="24"/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u w:val="none"/>
    </w:rPr>
  </w:style>
  <w:style w:type="character" w:styleId="ListLabel51">
    <w:name w:val="ListLabel 51"/>
    <w:qFormat/>
    <w:rPr>
      <w:u w:val="none"/>
    </w:rPr>
  </w:style>
  <w:style w:type="character" w:styleId="ListLabel52">
    <w:name w:val="ListLabel 52"/>
    <w:qFormat/>
    <w:rPr>
      <w:u w:val="none"/>
    </w:rPr>
  </w:style>
  <w:style w:type="character" w:styleId="ListLabel53">
    <w:name w:val="ListLabel 53"/>
    <w:qFormat/>
    <w:rPr>
      <w:u w:val="none"/>
    </w:rPr>
  </w:style>
  <w:style w:type="character" w:styleId="ListLabel54">
    <w:name w:val="ListLabel 54"/>
    <w:qFormat/>
    <w:rPr>
      <w:sz w:val="24"/>
      <w:u w:val="none"/>
    </w:rPr>
  </w:style>
  <w:style w:type="character" w:styleId="ListLabel55">
    <w:name w:val="ListLabel 55"/>
    <w:qFormat/>
    <w:rPr>
      <w:u w:val="none"/>
    </w:rPr>
  </w:style>
  <w:style w:type="character" w:styleId="ListLabel56">
    <w:name w:val="ListLabel 56"/>
    <w:qFormat/>
    <w:rPr>
      <w:u w:val="none"/>
    </w:rPr>
  </w:style>
  <w:style w:type="character" w:styleId="ListLabel57">
    <w:name w:val="ListLabel 57"/>
    <w:qFormat/>
    <w:rPr>
      <w:u w:val="none"/>
    </w:rPr>
  </w:style>
  <w:style w:type="character" w:styleId="ListLabel58">
    <w:name w:val="ListLabel 58"/>
    <w:qFormat/>
    <w:rPr>
      <w:u w:val="none"/>
    </w:rPr>
  </w:style>
  <w:style w:type="character" w:styleId="ListLabel59">
    <w:name w:val="ListLabel 59"/>
    <w:qFormat/>
    <w:rPr>
      <w:u w:val="none"/>
    </w:rPr>
  </w:style>
  <w:style w:type="character" w:styleId="ListLabel60">
    <w:name w:val="ListLabel 60"/>
    <w:qFormat/>
    <w:rPr>
      <w:u w:val="none"/>
    </w:rPr>
  </w:style>
  <w:style w:type="character" w:styleId="ListLabel61">
    <w:name w:val="ListLabel 61"/>
    <w:qFormat/>
    <w:rPr>
      <w:u w:val="none"/>
    </w:rPr>
  </w:style>
  <w:style w:type="character" w:styleId="ListLabel62">
    <w:name w:val="ListLabel 62"/>
    <w:qFormat/>
    <w:rPr>
      <w:u w:val="none"/>
    </w:rPr>
  </w:style>
  <w:style w:type="character" w:styleId="ListLabel63">
    <w:name w:val="ListLabel 63"/>
    <w:qFormat/>
    <w:rPr>
      <w:sz w:val="24"/>
      <w:u w:val="none"/>
    </w:rPr>
  </w:style>
  <w:style w:type="character" w:styleId="ListLabel64">
    <w:name w:val="ListLabel 64"/>
    <w:qFormat/>
    <w:rPr>
      <w:u w:val="none"/>
    </w:rPr>
  </w:style>
  <w:style w:type="character" w:styleId="ListLabel65">
    <w:name w:val="ListLabel 65"/>
    <w:qFormat/>
    <w:rPr>
      <w:u w:val="none"/>
    </w:rPr>
  </w:style>
  <w:style w:type="character" w:styleId="ListLabel66">
    <w:name w:val="ListLabel 66"/>
    <w:qFormat/>
    <w:rPr>
      <w:u w:val="none"/>
    </w:rPr>
  </w:style>
  <w:style w:type="character" w:styleId="ListLabel67">
    <w:name w:val="ListLabel 67"/>
    <w:qFormat/>
    <w:rPr>
      <w:u w:val="none"/>
    </w:rPr>
  </w:style>
  <w:style w:type="character" w:styleId="ListLabel68">
    <w:name w:val="ListLabel 68"/>
    <w:qFormat/>
    <w:rPr>
      <w:u w:val="none"/>
    </w:rPr>
  </w:style>
  <w:style w:type="character" w:styleId="ListLabel69">
    <w:name w:val="ListLabel 69"/>
    <w:qFormat/>
    <w:rPr>
      <w:u w:val="none"/>
    </w:rPr>
  </w:style>
  <w:style w:type="character" w:styleId="ListLabel70">
    <w:name w:val="ListLabel 70"/>
    <w:qFormat/>
    <w:rPr>
      <w:u w:val="none"/>
    </w:rPr>
  </w:style>
  <w:style w:type="character" w:styleId="ListLabel71">
    <w:name w:val="ListLabel 71"/>
    <w:qFormat/>
    <w:rPr>
      <w:u w:val="none"/>
    </w:rPr>
  </w:style>
  <w:style w:type="character" w:styleId="ListLabel72">
    <w:name w:val="ListLabel 72"/>
    <w:qFormat/>
    <w:rPr>
      <w:sz w:val="24"/>
      <w:u w:val="none"/>
    </w:rPr>
  </w:style>
  <w:style w:type="character" w:styleId="ListLabel73">
    <w:name w:val="ListLabel 73"/>
    <w:qFormat/>
    <w:rPr>
      <w:u w:val="none"/>
    </w:rPr>
  </w:style>
  <w:style w:type="character" w:styleId="ListLabel74">
    <w:name w:val="ListLabel 74"/>
    <w:qFormat/>
    <w:rPr>
      <w:u w:val="none"/>
    </w:rPr>
  </w:style>
  <w:style w:type="character" w:styleId="ListLabel75">
    <w:name w:val="ListLabel 75"/>
    <w:qFormat/>
    <w:rPr>
      <w:u w:val="none"/>
    </w:rPr>
  </w:style>
  <w:style w:type="character" w:styleId="ListLabel76">
    <w:name w:val="ListLabel 76"/>
    <w:qFormat/>
    <w:rPr>
      <w:u w:val="none"/>
    </w:rPr>
  </w:style>
  <w:style w:type="character" w:styleId="ListLabel77">
    <w:name w:val="ListLabel 77"/>
    <w:qFormat/>
    <w:rPr>
      <w:u w:val="none"/>
    </w:rPr>
  </w:style>
  <w:style w:type="character" w:styleId="ListLabel78">
    <w:name w:val="ListLabel 78"/>
    <w:qFormat/>
    <w:rPr>
      <w:u w:val="none"/>
    </w:rPr>
  </w:style>
  <w:style w:type="character" w:styleId="ListLabel79">
    <w:name w:val="ListLabel 79"/>
    <w:qFormat/>
    <w:rPr>
      <w:u w:val="none"/>
    </w:rPr>
  </w:style>
  <w:style w:type="character" w:styleId="ListLabel80">
    <w:name w:val="ListLabel 80"/>
    <w:qFormat/>
    <w:rPr>
      <w:u w:val="none"/>
    </w:rPr>
  </w:style>
  <w:style w:type="character" w:styleId="ListLabel81">
    <w:name w:val="ListLabel 81"/>
    <w:qFormat/>
    <w:rPr>
      <w:sz w:val="24"/>
      <w:u w:val="none"/>
    </w:rPr>
  </w:style>
  <w:style w:type="character" w:styleId="ListLabel82">
    <w:name w:val="ListLabel 82"/>
    <w:qFormat/>
    <w:rPr>
      <w:u w:val="none"/>
    </w:rPr>
  </w:style>
  <w:style w:type="character" w:styleId="ListLabel83">
    <w:name w:val="ListLabel 83"/>
    <w:qFormat/>
    <w:rPr>
      <w:u w:val="none"/>
    </w:rPr>
  </w:style>
  <w:style w:type="character" w:styleId="ListLabel84">
    <w:name w:val="ListLabel 84"/>
    <w:qFormat/>
    <w:rPr>
      <w:u w:val="none"/>
    </w:rPr>
  </w:style>
  <w:style w:type="character" w:styleId="ListLabel85">
    <w:name w:val="ListLabel 85"/>
    <w:qFormat/>
    <w:rPr>
      <w:u w:val="none"/>
    </w:rPr>
  </w:style>
  <w:style w:type="character" w:styleId="ListLabel86">
    <w:name w:val="ListLabel 86"/>
    <w:qFormat/>
    <w:rPr>
      <w:u w:val="none"/>
    </w:rPr>
  </w:style>
  <w:style w:type="character" w:styleId="ListLabel87">
    <w:name w:val="ListLabel 87"/>
    <w:qFormat/>
    <w:rPr>
      <w:u w:val="none"/>
    </w:rPr>
  </w:style>
  <w:style w:type="character" w:styleId="ListLabel88">
    <w:name w:val="ListLabel 88"/>
    <w:qFormat/>
    <w:rPr>
      <w:u w:val="none"/>
    </w:rPr>
  </w:style>
  <w:style w:type="character" w:styleId="ListLabel89">
    <w:name w:val="ListLabel 89"/>
    <w:qFormat/>
    <w:rPr>
      <w:u w:val="none"/>
    </w:rPr>
  </w:style>
  <w:style w:type="character" w:styleId="ListLabel90">
    <w:name w:val="ListLabel 90"/>
    <w:qFormat/>
    <w:rPr>
      <w:sz w:val="24"/>
      <w:u w:val="none"/>
    </w:rPr>
  </w:style>
  <w:style w:type="character" w:styleId="ListLabel91">
    <w:name w:val="ListLabel 91"/>
    <w:qFormat/>
    <w:rPr>
      <w:u w:val="none"/>
    </w:rPr>
  </w:style>
  <w:style w:type="character" w:styleId="ListLabel92">
    <w:name w:val="ListLabel 92"/>
    <w:qFormat/>
    <w:rPr>
      <w:u w:val="none"/>
    </w:rPr>
  </w:style>
  <w:style w:type="character" w:styleId="ListLabel93">
    <w:name w:val="ListLabel 93"/>
    <w:qFormat/>
    <w:rPr>
      <w:u w:val="none"/>
    </w:rPr>
  </w:style>
  <w:style w:type="character" w:styleId="ListLabel94">
    <w:name w:val="ListLabel 94"/>
    <w:qFormat/>
    <w:rPr>
      <w:u w:val="none"/>
    </w:rPr>
  </w:style>
  <w:style w:type="character" w:styleId="ListLabel95">
    <w:name w:val="ListLabel 95"/>
    <w:qFormat/>
    <w:rPr>
      <w:u w:val="none"/>
    </w:rPr>
  </w:style>
  <w:style w:type="character" w:styleId="ListLabel96">
    <w:name w:val="ListLabel 96"/>
    <w:qFormat/>
    <w:rPr>
      <w:u w:val="none"/>
    </w:rPr>
  </w:style>
  <w:style w:type="character" w:styleId="ListLabel97">
    <w:name w:val="ListLabel 97"/>
    <w:qFormat/>
    <w:rPr>
      <w:u w:val="none"/>
    </w:rPr>
  </w:style>
  <w:style w:type="character" w:styleId="ListLabel98">
    <w:name w:val="ListLabel 98"/>
    <w:qFormat/>
    <w:rPr>
      <w:u w:val="none"/>
    </w:rPr>
  </w:style>
  <w:style w:type="character" w:styleId="ListLabel99">
    <w:name w:val="ListLabel 99"/>
    <w:qFormat/>
    <w:rPr>
      <w:sz w:val="24"/>
      <w:u w:val="none"/>
    </w:rPr>
  </w:style>
  <w:style w:type="character" w:styleId="ListLabel100">
    <w:name w:val="ListLabel 100"/>
    <w:qFormat/>
    <w:rPr>
      <w:sz w:val="24"/>
      <w:u w:val="none"/>
    </w:rPr>
  </w:style>
  <w:style w:type="character" w:styleId="ListLabel101">
    <w:name w:val="ListLabel 101"/>
    <w:qFormat/>
    <w:rPr>
      <w:u w:val="none"/>
    </w:rPr>
  </w:style>
  <w:style w:type="character" w:styleId="ListLabel102">
    <w:name w:val="ListLabel 102"/>
    <w:qFormat/>
    <w:rPr>
      <w:u w:val="none"/>
    </w:rPr>
  </w:style>
  <w:style w:type="character" w:styleId="ListLabel103">
    <w:name w:val="ListLabel 103"/>
    <w:qFormat/>
    <w:rPr>
      <w:u w:val="none"/>
    </w:rPr>
  </w:style>
  <w:style w:type="character" w:styleId="ListLabel104">
    <w:name w:val="ListLabel 104"/>
    <w:qFormat/>
    <w:rPr>
      <w:u w:val="none"/>
    </w:rPr>
  </w:style>
  <w:style w:type="character" w:styleId="ListLabel105">
    <w:name w:val="ListLabel 105"/>
    <w:qFormat/>
    <w:rPr>
      <w:u w:val="none"/>
    </w:rPr>
  </w:style>
  <w:style w:type="character" w:styleId="ListLabel106">
    <w:name w:val="ListLabel 106"/>
    <w:qFormat/>
    <w:rPr>
      <w:u w:val="none"/>
    </w:rPr>
  </w:style>
  <w:style w:type="character" w:styleId="ListLabel107">
    <w:name w:val="ListLabel 107"/>
    <w:qFormat/>
    <w:rPr>
      <w:rFonts w:eastAsia="Times New Roman" w:cs="Times New Roman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jc w:val="both"/>
    </w:pPr>
    <w:rPr>
      <w:sz w:val="24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qFormat/>
    <w:pPr>
      <w:jc w:val="center"/>
    </w:pPr>
    <w:rPr>
      <w:b/>
      <w:bCs/>
      <w:sz w:val="24"/>
    </w:rPr>
  </w:style>
  <w:style w:type="paragraph" w:styleId="Odsazentlatextu">
    <w:name w:val="Body Text Indent"/>
    <w:basedOn w:val="Normal"/>
    <w:pPr>
      <w:ind w:left="705" w:hanging="0"/>
    </w:pPr>
    <w:rPr>
      <w:sz w:val="24"/>
    </w:rPr>
  </w:style>
  <w:style w:type="paragraph" w:styleId="BodyTextIndent2">
    <w:name w:val="Body Text Indent 2"/>
    <w:basedOn w:val="Normal"/>
    <w:qFormat/>
    <w:rsid w:val="009f765f"/>
    <w:pPr>
      <w:spacing w:lineRule="auto" w:line="480" w:before="0" w:after="120"/>
      <w:ind w:left="283" w:hanging="0"/>
    </w:pPr>
    <w:rPr/>
  </w:style>
  <w:style w:type="paragraph" w:styleId="Zhlav">
    <w:name w:val="Header"/>
    <w:basedOn w:val="Normal"/>
    <w:rsid w:val="00310822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310822"/>
    <w:pPr>
      <w:tabs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1b7d68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xtbublinyChar"/>
    <w:qFormat/>
    <w:rsid w:val="00581f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a855e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61D-3FF0-4987-828E-BBB4ADA4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 LibreOffice_project/2524958677847fb3bb44820e40380acbe820f960</Application>
  <Pages>25</Pages>
  <Words>2440</Words>
  <Characters>14543</Characters>
  <CharactersWithSpaces>17294</CharactersWithSpaces>
  <Paragraphs>422</Paragraphs>
  <Company>Tomil s.r.o. Vysoké Mýto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2016-07-01T07:07:00Z</dcterms:created>
  <dc:creator>Muller Jan</dc:creator>
  <dc:description/>
  <dc:language>cs-CZ</dc:language>
  <cp:lastModifiedBy>Mgr. Pavel Beran</cp:lastModifiedBy>
  <cp:lastPrinted>2016-06-28T11:06:00Z</cp:lastPrinted>
  <dcterms:modified xsi:type="dcterms:W3CDTF">2016-07-01T07:07:00Z</dcterms:modified>
  <cp:revision>2</cp:revision>
  <dc:subject/>
  <dc:title>BEZPEČNOSTNÍ LIST PŘÍPRAVKU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Tomil s.r.o. Vysoké Mýto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